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240" w:lineRule="auto"/>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中华人民共和国</w:t>
      </w:r>
      <w:r>
        <w:rPr>
          <w:rFonts w:hint="eastAsia" w:ascii="方正小标宋简体" w:hAnsi="方正小标宋简体" w:eastAsia="方正小标宋简体" w:cs="方正小标宋简体"/>
          <w:b w:val="0"/>
          <w:bCs w:val="0"/>
          <w:sz w:val="44"/>
          <w:szCs w:val="44"/>
          <w:lang w:eastAsia="zh-CN"/>
        </w:rPr>
        <w:t>供销合作</w:t>
      </w:r>
      <w:r>
        <w:rPr>
          <w:rFonts w:hint="eastAsia" w:ascii="方正小标宋简体" w:hAnsi="方正小标宋简体" w:eastAsia="方正小标宋简体" w:cs="方正小标宋简体"/>
          <w:b w:val="0"/>
          <w:bCs w:val="0"/>
          <w:sz w:val="44"/>
          <w:szCs w:val="44"/>
        </w:rPr>
        <w:t>行业标准</w:t>
      </w:r>
    </w:p>
    <w:p>
      <w:pPr>
        <w:keepNext w:val="0"/>
        <w:keepLines w:val="0"/>
        <w:pageBreakBefore w:val="0"/>
        <w:widowControl w:val="0"/>
        <w:kinsoku/>
        <w:wordWrap/>
        <w:overflowPunct/>
        <w:topLinePunct w:val="0"/>
        <w:autoSpaceDE w:val="0"/>
        <w:autoSpaceDN w:val="0"/>
        <w:bidi w:val="0"/>
        <w:adjustRightInd/>
        <w:snapToGrid/>
        <w:spacing w:line="240" w:lineRule="auto"/>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val="0"/>
          <w:sz w:val="36"/>
          <w:szCs w:val="36"/>
        </w:rPr>
      </w:pPr>
      <w:r>
        <w:rPr>
          <w:rFonts w:hint="eastAsia" w:ascii="方正小标宋简体" w:hAnsi="方正小标宋简体" w:eastAsia="方正小标宋简体" w:cs="方正小标宋简体"/>
          <w:b w:val="0"/>
          <w:bCs w:val="0"/>
          <w:sz w:val="36"/>
          <w:szCs w:val="36"/>
        </w:rPr>
        <w:t>《农资电子商务体系建设规范》</w:t>
      </w:r>
    </w:p>
    <w:p>
      <w:pPr>
        <w:keepNext w:val="0"/>
        <w:keepLines w:val="0"/>
        <w:pageBreakBefore w:val="0"/>
        <w:widowControl w:val="0"/>
        <w:kinsoku/>
        <w:wordWrap/>
        <w:overflowPunct/>
        <w:topLinePunct w:val="0"/>
        <w:autoSpaceDE w:val="0"/>
        <w:autoSpaceDN w:val="0"/>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（征求意见稿）</w:t>
      </w:r>
    </w:p>
    <w:p>
      <w:pPr>
        <w:keepNext w:val="0"/>
        <w:keepLines w:val="0"/>
        <w:pageBreakBefore w:val="0"/>
        <w:widowControl w:val="0"/>
        <w:kinsoku/>
        <w:wordWrap/>
        <w:overflowPunct/>
        <w:topLinePunct w:val="0"/>
        <w:autoSpaceDE w:val="0"/>
        <w:autoSpaceDN w:val="0"/>
        <w:bidi w:val="0"/>
        <w:adjustRightInd/>
        <w:snapToGrid/>
        <w:spacing w:line="240" w:lineRule="auto"/>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val="0"/>
          <w:sz w:val="36"/>
          <w:szCs w:val="36"/>
        </w:rPr>
      </w:pPr>
    </w:p>
    <w:p>
      <w:pPr>
        <w:keepNext w:val="0"/>
        <w:keepLines w:val="0"/>
        <w:pageBreakBefore w:val="0"/>
        <w:widowControl w:val="0"/>
        <w:kinsoku/>
        <w:wordWrap/>
        <w:overflowPunct/>
        <w:topLinePunct w:val="0"/>
        <w:autoSpaceDE w:val="0"/>
        <w:autoSpaceDN w:val="0"/>
        <w:bidi w:val="0"/>
        <w:adjustRightInd/>
        <w:snapToGrid/>
        <w:spacing w:line="240" w:lineRule="auto"/>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val="0"/>
          <w:sz w:val="36"/>
          <w:szCs w:val="36"/>
        </w:rPr>
      </w:pPr>
    </w:p>
    <w:p>
      <w:pPr>
        <w:keepNext w:val="0"/>
        <w:keepLines w:val="0"/>
        <w:pageBreakBefore w:val="0"/>
        <w:widowControl w:val="0"/>
        <w:kinsoku/>
        <w:wordWrap/>
        <w:overflowPunct/>
        <w:topLinePunct w:val="0"/>
        <w:autoSpaceDE w:val="0"/>
        <w:autoSpaceDN w:val="0"/>
        <w:bidi w:val="0"/>
        <w:adjustRightInd/>
        <w:snapToGrid/>
        <w:spacing w:line="240" w:lineRule="auto"/>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编制说明</w:t>
      </w:r>
    </w:p>
    <w:p>
      <w:pPr>
        <w:keepNext w:val="0"/>
        <w:keepLines w:val="0"/>
        <w:pageBreakBefore w:val="0"/>
        <w:widowControl w:val="0"/>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eastAsia" w:ascii="仿宋_GB2312" w:hAnsi="仿宋_GB2312" w:eastAsia="仿宋_GB2312"/>
          <w:sz w:val="32"/>
        </w:rPr>
      </w:pPr>
    </w:p>
    <w:p>
      <w:pPr>
        <w:widowControl w:val="0"/>
        <w:autoSpaceDE w:val="0"/>
        <w:autoSpaceDN w:val="0"/>
        <w:spacing w:line="300" w:lineRule="auto"/>
        <w:jc w:val="center"/>
        <w:rPr>
          <w:rFonts w:hint="eastAsia" w:ascii="仿宋_GB2312" w:hAnsi="仿宋_GB2312" w:eastAsia="仿宋_GB2312"/>
          <w:sz w:val="32"/>
        </w:rPr>
      </w:pPr>
    </w:p>
    <w:p>
      <w:pPr>
        <w:widowControl w:val="0"/>
        <w:autoSpaceDE w:val="0"/>
        <w:autoSpaceDN w:val="0"/>
        <w:spacing w:line="300" w:lineRule="auto"/>
        <w:jc w:val="center"/>
        <w:rPr>
          <w:rFonts w:hint="eastAsia" w:ascii="仿宋_GB2312" w:hAnsi="仿宋_GB2312" w:eastAsia="仿宋_GB2312"/>
          <w:sz w:val="32"/>
        </w:rPr>
      </w:pPr>
    </w:p>
    <w:p>
      <w:pPr>
        <w:widowControl w:val="0"/>
        <w:autoSpaceDE w:val="0"/>
        <w:autoSpaceDN w:val="0"/>
        <w:spacing w:line="300" w:lineRule="auto"/>
        <w:jc w:val="center"/>
        <w:rPr>
          <w:rFonts w:hint="eastAsia" w:ascii="仿宋_GB2312" w:hAnsi="仿宋_GB2312" w:eastAsia="仿宋_GB2312"/>
          <w:sz w:val="32"/>
        </w:rPr>
      </w:pPr>
    </w:p>
    <w:p>
      <w:pPr>
        <w:widowControl w:val="0"/>
        <w:autoSpaceDE w:val="0"/>
        <w:autoSpaceDN w:val="0"/>
        <w:spacing w:line="300" w:lineRule="auto"/>
        <w:jc w:val="center"/>
        <w:rPr>
          <w:rFonts w:hint="eastAsia" w:ascii="仿宋_GB2312" w:hAnsi="仿宋_GB2312" w:eastAsia="仿宋_GB2312"/>
          <w:sz w:val="32"/>
        </w:rPr>
      </w:pPr>
    </w:p>
    <w:p>
      <w:pPr>
        <w:widowControl w:val="0"/>
        <w:autoSpaceDE w:val="0"/>
        <w:autoSpaceDN w:val="0"/>
        <w:spacing w:line="300" w:lineRule="auto"/>
        <w:jc w:val="center"/>
        <w:rPr>
          <w:rFonts w:hint="eastAsia" w:ascii="仿宋_GB2312" w:hAnsi="仿宋_GB2312" w:eastAsia="仿宋_GB2312"/>
          <w:sz w:val="32"/>
        </w:rPr>
      </w:pPr>
    </w:p>
    <w:p>
      <w:pPr>
        <w:widowControl w:val="0"/>
        <w:autoSpaceDE w:val="0"/>
        <w:autoSpaceDN w:val="0"/>
        <w:spacing w:line="300" w:lineRule="auto"/>
        <w:jc w:val="center"/>
        <w:rPr>
          <w:rFonts w:hint="eastAsia" w:ascii="仿宋_GB2312" w:hAnsi="仿宋_GB2312" w:eastAsia="仿宋_GB2312"/>
          <w:sz w:val="32"/>
        </w:rPr>
      </w:pPr>
    </w:p>
    <w:p>
      <w:pPr>
        <w:widowControl w:val="0"/>
        <w:autoSpaceDE w:val="0"/>
        <w:autoSpaceDN w:val="0"/>
        <w:spacing w:line="300" w:lineRule="auto"/>
        <w:jc w:val="both"/>
        <w:rPr>
          <w:rFonts w:hint="eastAsia" w:ascii="仿宋_GB2312" w:hAnsi="仿宋_GB2312" w:eastAsia="仿宋_GB2312"/>
          <w:sz w:val="32"/>
        </w:rPr>
      </w:pPr>
    </w:p>
    <w:p>
      <w:pPr>
        <w:keepNext w:val="0"/>
        <w:keepLines w:val="0"/>
        <w:pageBreakBefore w:val="0"/>
        <w:kinsoku/>
        <w:wordWrap/>
        <w:overflowPunct/>
        <w:topLinePunct w:val="0"/>
        <w:bidi w:val="0"/>
        <w:adjustRightInd/>
        <w:snapToGrid/>
        <w:spacing w:line="600" w:lineRule="exact"/>
        <w:ind w:left="0" w:leftChars="0" w:right="0" w:rightChars="0" w:firstLine="640" w:firstLineChars="200"/>
        <w:jc w:val="center"/>
        <w:textAlignment w:val="auto"/>
        <w:outlineLvl w:val="9"/>
        <w:rPr>
          <w:rFonts w:hint="eastAsia" w:ascii="仿宋_GB2312" w:hAnsi="仿宋" w:eastAsia="仿宋_GB2312" w:cs="仿宋"/>
          <w:sz w:val="32"/>
          <w:szCs w:val="32"/>
        </w:rPr>
      </w:pPr>
    </w:p>
    <w:p>
      <w:pPr>
        <w:keepNext w:val="0"/>
        <w:keepLines w:val="0"/>
        <w:pageBreakBefore w:val="0"/>
        <w:kinsoku/>
        <w:wordWrap/>
        <w:overflowPunct/>
        <w:topLinePunct w:val="0"/>
        <w:bidi w:val="0"/>
        <w:adjustRightInd/>
        <w:snapToGrid/>
        <w:spacing w:line="600" w:lineRule="exact"/>
        <w:ind w:left="0" w:leftChars="0" w:right="0" w:rightChars="0" w:firstLine="640" w:firstLineChars="200"/>
        <w:jc w:val="center"/>
        <w:textAlignment w:val="auto"/>
        <w:outlineLvl w:val="9"/>
        <w:rPr>
          <w:rFonts w:hint="eastAsia" w:ascii="仿宋_GB2312" w:hAnsi="仿宋" w:eastAsia="仿宋_GB2312" w:cs="仿宋"/>
          <w:sz w:val="32"/>
          <w:szCs w:val="32"/>
        </w:rPr>
      </w:pPr>
      <w:r>
        <w:rPr>
          <w:rFonts w:hint="eastAsia" w:ascii="仿宋_GB2312" w:hAnsi="仿宋" w:eastAsia="仿宋_GB2312" w:cs="仿宋"/>
          <w:sz w:val="32"/>
          <w:szCs w:val="32"/>
        </w:rPr>
        <w:t>《农资电子商务体系建设规范》编制组</w:t>
      </w:r>
    </w:p>
    <w:p>
      <w:pPr>
        <w:keepNext w:val="0"/>
        <w:keepLines w:val="0"/>
        <w:pageBreakBefore w:val="0"/>
        <w:kinsoku/>
        <w:wordWrap/>
        <w:overflowPunct/>
        <w:topLinePunct w:val="0"/>
        <w:bidi w:val="0"/>
        <w:adjustRightInd/>
        <w:snapToGrid/>
        <w:spacing w:line="600" w:lineRule="exact"/>
        <w:ind w:left="0" w:leftChars="0" w:right="0" w:rightChars="0" w:firstLine="640" w:firstLineChars="200"/>
        <w:jc w:val="center"/>
        <w:textAlignment w:val="auto"/>
        <w:outlineLvl w:val="9"/>
        <w:rPr>
          <w:rFonts w:hint="eastAsia" w:ascii="方正小标宋简体" w:hAnsi="方正小标宋简体" w:eastAsia="方正小标宋简体" w:cs="方正小标宋简体"/>
          <w:b w:val="0"/>
          <w:bCs w:val="0"/>
          <w:sz w:val="32"/>
          <w:szCs w:val="32"/>
        </w:rPr>
      </w:pPr>
      <w:r>
        <w:rPr>
          <w:rFonts w:hint="eastAsia" w:ascii="仿宋_GB2312" w:hAnsi="仿宋" w:eastAsia="仿宋_GB2312" w:cs="仿宋"/>
          <w:sz w:val="32"/>
          <w:szCs w:val="32"/>
        </w:rPr>
        <w:t>二</w:t>
      </w:r>
      <w:r>
        <w:rPr>
          <w:rFonts w:hint="eastAsia" w:ascii="仿宋_GB2312" w:hAnsi="仿宋" w:eastAsia="仿宋_GB2312" w:cs="仿宋"/>
          <w:sz w:val="32"/>
          <w:szCs w:val="32"/>
          <w:lang w:val="en-US" w:eastAsia="zh-CN"/>
        </w:rPr>
        <w:t>0</w:t>
      </w:r>
      <w:r>
        <w:rPr>
          <w:rFonts w:hint="eastAsia" w:ascii="仿宋_GB2312" w:hAnsi="仿宋" w:eastAsia="仿宋_GB2312" w:cs="仿宋"/>
          <w:sz w:val="32"/>
          <w:szCs w:val="32"/>
        </w:rPr>
        <w:t>一七年</w:t>
      </w:r>
      <w:r>
        <w:rPr>
          <w:rFonts w:hint="eastAsia" w:ascii="仿宋_GB2312" w:hAnsi="仿宋" w:eastAsia="仿宋_GB2312" w:cs="仿宋"/>
          <w:sz w:val="32"/>
          <w:szCs w:val="32"/>
          <w:lang w:eastAsia="zh-CN"/>
        </w:rPr>
        <w:t>七</w:t>
      </w:r>
      <w:r>
        <w:rPr>
          <w:rFonts w:hint="eastAsia" w:ascii="仿宋_GB2312" w:hAnsi="仿宋" w:eastAsia="仿宋_GB2312" w:cs="仿宋"/>
          <w:sz w:val="32"/>
          <w:szCs w:val="32"/>
        </w:rPr>
        <w:t>月</w:t>
      </w:r>
    </w:p>
    <w:p>
      <w:pPr>
        <w:keepNext w:val="0"/>
        <w:keepLines w:val="0"/>
        <w:pageBreakBefore w:val="0"/>
        <w:widowControl w:val="0"/>
        <w:kinsoku/>
        <w:wordWrap/>
        <w:overflowPunct/>
        <w:topLinePunct w:val="0"/>
        <w:autoSpaceDE w:val="0"/>
        <w:autoSpaceDN w:val="0"/>
        <w:bidi w:val="0"/>
        <w:adjustRightInd/>
        <w:snapToGrid/>
        <w:spacing w:after="0" w:line="60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val="0"/>
          <w:sz w:val="32"/>
          <w:szCs w:val="32"/>
        </w:rPr>
      </w:pPr>
      <w:r>
        <w:rPr>
          <w:rFonts w:hint="eastAsia" w:ascii="方正小标宋简体" w:hAnsi="方正小标宋简体" w:eastAsia="方正小标宋简体" w:cs="方正小标宋简体"/>
          <w:b w:val="0"/>
          <w:bCs w:val="0"/>
          <w:sz w:val="32"/>
          <w:szCs w:val="32"/>
        </w:rPr>
        <w:t>《</w:t>
      </w:r>
      <w:r>
        <w:rPr>
          <w:rFonts w:hint="eastAsia" w:ascii="方正小标宋简体" w:hAnsi="方正小标宋简体" w:eastAsia="方正小标宋简体" w:cs="方正小标宋简体"/>
          <w:b w:val="0"/>
          <w:bCs w:val="0"/>
          <w:sz w:val="32"/>
          <w:szCs w:val="32"/>
          <w:lang w:eastAsia="zh-CN"/>
        </w:rPr>
        <w:t>农资电子商务体系建设规范</w:t>
      </w:r>
      <w:r>
        <w:rPr>
          <w:rFonts w:hint="eastAsia" w:ascii="方正小标宋简体" w:hAnsi="方正小标宋简体" w:eastAsia="方正小标宋简体" w:cs="方正小标宋简体"/>
          <w:b w:val="0"/>
          <w:bCs w:val="0"/>
          <w:sz w:val="32"/>
          <w:szCs w:val="32"/>
        </w:rPr>
        <w:t>》（征求意见稿）</w:t>
      </w:r>
    </w:p>
    <w:p>
      <w:pPr>
        <w:keepNext w:val="0"/>
        <w:keepLines w:val="0"/>
        <w:pageBreakBefore w:val="0"/>
        <w:widowControl w:val="0"/>
        <w:kinsoku/>
        <w:wordWrap/>
        <w:overflowPunct/>
        <w:topLinePunct w:val="0"/>
        <w:autoSpaceDE w:val="0"/>
        <w:autoSpaceDN w:val="0"/>
        <w:bidi w:val="0"/>
        <w:adjustRightInd/>
        <w:snapToGrid/>
        <w:spacing w:after="0" w:line="60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val="0"/>
          <w:sz w:val="32"/>
          <w:szCs w:val="32"/>
          <w:lang w:eastAsia="zh-CN"/>
        </w:rPr>
      </w:pPr>
      <w:r>
        <w:rPr>
          <w:rFonts w:hint="eastAsia" w:ascii="方正小标宋简体" w:hAnsi="方正小标宋简体" w:eastAsia="方正小标宋简体" w:cs="方正小标宋简体"/>
          <w:b w:val="0"/>
          <w:bCs w:val="0"/>
          <w:sz w:val="32"/>
          <w:szCs w:val="32"/>
          <w:lang w:eastAsia="zh-CN"/>
        </w:rPr>
        <w:t>编制说明</w:t>
      </w:r>
    </w:p>
    <w:p>
      <w:pPr>
        <w:pStyle w:val="2"/>
        <w:pageBreakBefore w:val="0"/>
        <w:kinsoku/>
        <w:wordWrap/>
        <w:overflowPunct/>
        <w:topLinePunct w:val="0"/>
        <w:bidi w:val="0"/>
        <w:spacing w:before="0" w:after="0" w:line="360" w:lineRule="auto"/>
        <w:ind w:left="0" w:leftChars="0" w:right="0" w:rightChars="0"/>
        <w:textAlignment w:val="auto"/>
        <w:rPr>
          <w:rFonts w:hint="eastAsia" w:ascii="宋体" w:hAnsi="宋体" w:eastAsia="宋体" w:cs="宋体"/>
          <w:color w:val="000000" w:themeColor="text1"/>
          <w:sz w:val="24"/>
          <w:szCs w:val="24"/>
        </w:rPr>
      </w:pPr>
      <w:bookmarkStart w:id="0" w:name="_Toc488737340"/>
      <w:r>
        <w:rPr>
          <w:rFonts w:hint="eastAsia" w:ascii="宋体" w:hAnsi="宋体" w:eastAsia="宋体" w:cs="宋体"/>
          <w:color w:val="000000" w:themeColor="text1"/>
          <w:sz w:val="24"/>
          <w:szCs w:val="24"/>
        </w:rPr>
        <w:t>一、任务来源及计划要求</w:t>
      </w:r>
      <w:bookmarkEnd w:id="0"/>
    </w:p>
    <w:p>
      <w:pPr>
        <w:pageBreakBefore w:val="0"/>
        <w:kinsoku/>
        <w:wordWrap/>
        <w:overflowPunct/>
        <w:topLinePunct w:val="0"/>
        <w:bidi w:val="0"/>
        <w:spacing w:after="0" w:line="360" w:lineRule="auto"/>
        <w:ind w:left="0" w:leftChars="0" w:right="0" w:rightChars="0"/>
        <w:jc w:val="both"/>
        <w:textAlignment w:val="auto"/>
        <w:rPr>
          <w:rFonts w:hint="eastAsia" w:ascii="宋体" w:hAnsi="宋体" w:eastAsia="宋体" w:cs="宋体"/>
          <w:sz w:val="24"/>
          <w:szCs w:val="24"/>
        </w:rPr>
      </w:pPr>
      <w:r>
        <w:rPr>
          <w:rFonts w:hint="eastAsia" w:ascii="宋体" w:hAnsi="宋体" w:eastAsia="宋体" w:cs="宋体"/>
          <w:sz w:val="24"/>
          <w:szCs w:val="24"/>
        </w:rPr>
        <w:t xml:space="preserve">    《农资电子商务体系建设规范》是《201</w:t>
      </w:r>
      <w:r>
        <w:rPr>
          <w:rFonts w:hint="eastAsia" w:ascii="宋体" w:hAnsi="宋体" w:eastAsia="宋体" w:cs="宋体"/>
          <w:sz w:val="24"/>
          <w:szCs w:val="24"/>
          <w:lang w:val="en-US" w:eastAsia="zh-CN"/>
        </w:rPr>
        <w:t>6</w:t>
      </w:r>
      <w:r>
        <w:rPr>
          <w:rFonts w:hint="eastAsia" w:ascii="宋体" w:hAnsi="宋体" w:eastAsia="宋体" w:cs="宋体"/>
          <w:sz w:val="24"/>
          <w:szCs w:val="24"/>
        </w:rPr>
        <w:t>年度供销合作行业标准制修订项目计划》中的一个项目，中华全国供销合作总社于201</w:t>
      </w:r>
      <w:r>
        <w:rPr>
          <w:rFonts w:hint="eastAsia" w:ascii="宋体" w:hAnsi="宋体" w:eastAsia="宋体" w:cs="宋体"/>
          <w:sz w:val="24"/>
          <w:szCs w:val="24"/>
          <w:lang w:val="en-US" w:eastAsia="zh-CN"/>
        </w:rPr>
        <w:t>6</w:t>
      </w:r>
      <w:r>
        <w:rPr>
          <w:rFonts w:hint="eastAsia" w:ascii="宋体" w:hAnsi="宋体" w:eastAsia="宋体" w:cs="宋体"/>
          <w:sz w:val="24"/>
          <w:szCs w:val="24"/>
        </w:rPr>
        <w:t>年</w:t>
      </w:r>
      <w:r>
        <w:rPr>
          <w:rFonts w:hint="eastAsia" w:ascii="宋体" w:hAnsi="宋体" w:eastAsia="宋体" w:cs="宋体"/>
          <w:sz w:val="24"/>
          <w:szCs w:val="24"/>
          <w:lang w:val="en-US" w:eastAsia="zh-CN"/>
        </w:rPr>
        <w:t>4</w:t>
      </w:r>
      <w:r>
        <w:rPr>
          <w:rFonts w:hint="eastAsia" w:ascii="宋体" w:hAnsi="宋体" w:eastAsia="宋体" w:cs="宋体"/>
          <w:sz w:val="24"/>
          <w:szCs w:val="24"/>
        </w:rPr>
        <w:t>月下达此任务。本标准由中华全国供销合作总社农业生产资料局提出并归口，由中国农业生产资料流通协会、中国农业生产资料集团公司、北京工商大学等负责起草，该项目计划要求于2017年完成。本标准是新制定的推荐性行业标准。</w:t>
      </w:r>
    </w:p>
    <w:p>
      <w:pPr>
        <w:pStyle w:val="2"/>
        <w:pageBreakBefore w:val="0"/>
        <w:kinsoku/>
        <w:wordWrap/>
        <w:overflowPunct/>
        <w:topLinePunct w:val="0"/>
        <w:bidi w:val="0"/>
        <w:spacing w:before="0" w:after="0" w:line="360" w:lineRule="auto"/>
        <w:ind w:left="0" w:leftChars="0" w:right="0" w:rightChars="0"/>
        <w:textAlignment w:val="auto"/>
        <w:rPr>
          <w:rFonts w:hint="eastAsia" w:ascii="宋体" w:hAnsi="宋体" w:eastAsia="宋体" w:cs="宋体"/>
          <w:color w:val="000000" w:themeColor="text1"/>
          <w:sz w:val="24"/>
          <w:szCs w:val="24"/>
        </w:rPr>
      </w:pPr>
      <w:bookmarkStart w:id="1" w:name="_Toc488737341"/>
      <w:r>
        <w:rPr>
          <w:rFonts w:hint="eastAsia" w:ascii="宋体" w:hAnsi="宋体" w:eastAsia="宋体" w:cs="宋体"/>
          <w:color w:val="000000" w:themeColor="text1"/>
          <w:sz w:val="24"/>
          <w:szCs w:val="24"/>
        </w:rPr>
        <w:t>二、标准制定的目的和意义</w:t>
      </w:r>
      <w:bookmarkEnd w:id="1"/>
    </w:p>
    <w:p>
      <w:pPr>
        <w:pageBreakBefore w:val="0"/>
        <w:widowControl w:val="0"/>
        <w:kinsoku/>
        <w:wordWrap/>
        <w:overflowPunct/>
        <w:topLinePunct w:val="0"/>
        <w:autoSpaceDE w:val="0"/>
        <w:autoSpaceDN w:val="0"/>
        <w:bidi w:val="0"/>
        <w:spacing w:after="0" w:line="360" w:lineRule="auto"/>
        <w:ind w:left="0" w:leftChars="0" w:right="0" w:rightChars="0" w:firstLine="482" w:firstLineChars="200"/>
        <w:textAlignment w:val="auto"/>
        <w:rPr>
          <w:rFonts w:hint="eastAsia" w:ascii="宋体" w:hAnsi="宋体" w:eastAsia="宋体" w:cs="宋体"/>
          <w:b/>
          <w:bCs/>
          <w:color w:val="000000" w:themeColor="text1"/>
          <w:sz w:val="24"/>
          <w:szCs w:val="24"/>
        </w:rPr>
      </w:pPr>
      <w:r>
        <w:rPr>
          <w:rFonts w:hint="eastAsia" w:ascii="宋体" w:hAnsi="宋体" w:eastAsia="宋体" w:cs="宋体"/>
          <w:b/>
          <w:bCs/>
          <w:color w:val="000000" w:themeColor="text1"/>
          <w:sz w:val="24"/>
          <w:szCs w:val="24"/>
        </w:rPr>
        <w:t>（一）我国农资电商行业发展现状</w:t>
      </w:r>
    </w:p>
    <w:p>
      <w:pPr>
        <w:pageBreakBefore w:val="0"/>
        <w:kinsoku/>
        <w:wordWrap/>
        <w:overflowPunct/>
        <w:topLinePunct w:val="0"/>
        <w:bidi w:val="0"/>
        <w:spacing w:after="0" w:line="360" w:lineRule="auto"/>
        <w:ind w:left="0" w:leftChars="0" w:right="0" w:rightChars="0" w:firstLine="480" w:firstLineChars="200"/>
        <w:jc w:val="both"/>
        <w:textAlignment w:val="auto"/>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近几年来，电子商务以其开放性、低成本、高效率的优势，高度渗透到生产、流通、消费等各个领域，发展速度十分迅猛，成长空间极其广阔。但对于农资行业来说，电子商务实际上仍处于摸索前进阶段。农村市场的特性决定了农资电商面临着传统消费模式和消费观念不易改变、信息基础设施不完善、物流配送体系限制等多种问题。其中电子商务平台的发展未收到重视是导致这些问题的一项重要原因，为解决问题，促进农资电商行业发展，使市场更加成熟，制定科学合理的农资电子商务体系建设规范是必不可少的。</w:t>
      </w:r>
    </w:p>
    <w:p>
      <w:pPr>
        <w:pageBreakBefore w:val="0"/>
        <w:kinsoku/>
        <w:wordWrap/>
        <w:overflowPunct/>
        <w:topLinePunct w:val="0"/>
        <w:bidi w:val="0"/>
        <w:spacing w:after="0" w:line="360" w:lineRule="auto"/>
        <w:ind w:left="0" w:leftChars="0" w:right="0" w:rightChars="0" w:firstLine="480" w:firstLineChars="200"/>
        <w:jc w:val="both"/>
        <w:textAlignment w:val="auto"/>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1、创新2.0时代下，传统行业融入“互联网+”</w:t>
      </w:r>
    </w:p>
    <w:p>
      <w:pPr>
        <w:pageBreakBefore w:val="0"/>
        <w:kinsoku/>
        <w:wordWrap/>
        <w:overflowPunct/>
        <w:topLinePunct w:val="0"/>
        <w:bidi w:val="0"/>
        <w:spacing w:after="0"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电子商务已经与人们的生产活动、生活方式高度融合，成为国民经济提质增效、人民生活质量持续提升的有效途径。2014年，我国电子商务交易总额突破13万亿，增速达28.6%，带动就业、创业超过1000万人。</w:t>
      </w:r>
    </w:p>
    <w:p>
      <w:pPr>
        <w:pageBreakBefore w:val="0"/>
        <w:kinsoku/>
        <w:wordWrap/>
        <w:overflowPunct/>
        <w:topLinePunct w:val="0"/>
        <w:bidi w:val="0"/>
        <w:spacing w:after="0"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2015年7月4日，国务院发布了《关于积极推进“互联网+”行动的指导意见》，明确提出要大力发展农村电商、行业电商和跨境电商，推动电子商务应用创新。国家对电子商务的发展目</w:t>
      </w:r>
      <w:bookmarkStart w:id="12" w:name="_GoBack"/>
      <w:bookmarkEnd w:id="12"/>
      <w:r>
        <w:rPr>
          <w:rFonts w:hint="eastAsia" w:ascii="宋体" w:hAnsi="宋体" w:eastAsia="宋体" w:cs="宋体"/>
          <w:sz w:val="24"/>
          <w:szCs w:val="24"/>
        </w:rPr>
        <w:t>标是，到2020年，基本建成统一开放、竞争有序、诚信守法、安全可靠的电子商务大市场。</w:t>
      </w:r>
    </w:p>
    <w:p>
      <w:pPr>
        <w:pageBreakBefore w:val="0"/>
        <w:kinsoku/>
        <w:wordWrap/>
        <w:overflowPunct/>
        <w:topLinePunct w:val="0"/>
        <w:bidi w:val="0"/>
        <w:spacing w:after="0"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2、农资电商市场空间广阔，未来发展潜力巨大</w:t>
      </w:r>
    </w:p>
    <w:p>
      <w:pPr>
        <w:pageBreakBefore w:val="0"/>
        <w:kinsoku/>
        <w:wordWrap/>
        <w:overflowPunct/>
        <w:topLinePunct w:val="0"/>
        <w:bidi w:val="0"/>
        <w:spacing w:after="0"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目前国内农资市场容量超过了2万亿元人民币，其中种子、化肥、农药、农机四类农资产品的市场空间分别约为3500亿、7500亿元、3800亿元和6000亿元，市场空间广阔，同时城镇化和土地流转将大幅提升农资服务需求。</w:t>
      </w:r>
    </w:p>
    <w:p>
      <w:pPr>
        <w:pageBreakBefore w:val="0"/>
        <w:kinsoku/>
        <w:wordWrap/>
        <w:overflowPunct/>
        <w:topLinePunct w:val="0"/>
        <w:bidi w:val="0"/>
        <w:spacing w:after="0"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2015年，在电商垂直细分领域中农资电商是最火的领域之一，尤其是随着国家对于农村电子商务发展的大力扶持，传统农资企业和互联网巨头纷纷布局农资电商，农资电商的发展潜力巨大。</w:t>
      </w:r>
    </w:p>
    <w:p>
      <w:pPr>
        <w:pageBreakBefore w:val="0"/>
        <w:widowControl w:val="0"/>
        <w:kinsoku/>
        <w:wordWrap/>
        <w:overflowPunct/>
        <w:topLinePunct w:val="0"/>
        <w:autoSpaceDE w:val="0"/>
        <w:autoSpaceDN w:val="0"/>
        <w:bidi w:val="0"/>
        <w:spacing w:after="0" w:line="360" w:lineRule="auto"/>
        <w:ind w:left="0" w:leftChars="0" w:right="0" w:rightChars="0" w:firstLine="570"/>
        <w:jc w:val="both"/>
        <w:textAlignment w:val="auto"/>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3、政府大力发展农村电商，政策带来巨大红利</w:t>
      </w:r>
    </w:p>
    <w:p>
      <w:pPr>
        <w:pageBreakBefore w:val="0"/>
        <w:kinsoku/>
        <w:wordWrap/>
        <w:overflowPunct/>
        <w:topLinePunct w:val="0"/>
        <w:bidi w:val="0"/>
        <w:spacing w:after="0" w:line="360" w:lineRule="auto"/>
        <w:ind w:left="0" w:leftChars="0" w:right="0" w:rightChars="0" w:firstLine="480" w:firstLineChars="200"/>
        <w:jc w:val="both"/>
        <w:textAlignment w:val="auto"/>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2015年5月8日，国务院出台“电商国八条”，提出加强互联网与农业农村融合发展，中央财政将拿出20亿元专项资金用于农村电商基础设施建设。随后，国务院办公厅印发《关于促进农村电子商务加快发展的指导意见》，全面部署指导农村电子商务健康快速发展。网络基础设施的建设、政府的政策导向，都为农业的“互联网+”带来了无限可能。</w:t>
      </w:r>
    </w:p>
    <w:p>
      <w:pPr>
        <w:pageBreakBefore w:val="0"/>
        <w:kinsoku/>
        <w:wordWrap/>
        <w:overflowPunct/>
        <w:topLinePunct w:val="0"/>
        <w:bidi w:val="0"/>
        <w:spacing w:after="0" w:line="360" w:lineRule="auto"/>
        <w:ind w:left="0" w:leftChars="0" w:right="0" w:rightChars="0" w:firstLine="480" w:firstLineChars="200"/>
        <w:jc w:val="both"/>
        <w:textAlignment w:val="auto"/>
        <w:rPr>
          <w:rFonts w:hint="eastAsia" w:ascii="宋体" w:hAnsi="宋体" w:eastAsia="宋体" w:cs="宋体"/>
          <w:color w:val="000000" w:themeColor="text1"/>
          <w:sz w:val="24"/>
          <w:szCs w:val="24"/>
        </w:rPr>
      </w:pPr>
      <w:r>
        <w:rPr>
          <w:rFonts w:hint="eastAsia" w:ascii="宋体" w:hAnsi="宋体" w:eastAsia="宋体" w:cs="宋体"/>
          <w:sz w:val="24"/>
          <w:szCs w:val="24"/>
          <w:shd w:val="clear" w:color="auto" w:fill="FFFFFF"/>
        </w:rPr>
        <w:t>未来我国现代农业生产将面临更加定向的规模化、适度规模化趋势，一方面让60万经销商的生存空间堪忧，亟待寻找新的服务模式，另一方面上万家肥料企业将开始向几十万家大大小小农场供应产品，通过互联网与新农人群体建立紧密的互联网关系。</w:t>
      </w:r>
    </w:p>
    <w:p>
      <w:pPr>
        <w:pageBreakBefore w:val="0"/>
        <w:widowControl w:val="0"/>
        <w:kinsoku/>
        <w:wordWrap/>
        <w:overflowPunct/>
        <w:topLinePunct w:val="0"/>
        <w:autoSpaceDE w:val="0"/>
        <w:autoSpaceDN w:val="0"/>
        <w:bidi w:val="0"/>
        <w:spacing w:after="0" w:line="360" w:lineRule="auto"/>
        <w:ind w:left="0" w:leftChars="0" w:right="0" w:rightChars="0" w:firstLine="482" w:firstLineChars="200"/>
        <w:textAlignment w:val="auto"/>
        <w:rPr>
          <w:rFonts w:hint="eastAsia" w:ascii="宋体" w:hAnsi="宋体" w:eastAsia="宋体" w:cs="宋体"/>
          <w:b/>
          <w:bCs/>
          <w:color w:val="000000" w:themeColor="text1"/>
          <w:sz w:val="24"/>
          <w:szCs w:val="24"/>
        </w:rPr>
      </w:pPr>
      <w:r>
        <w:rPr>
          <w:rFonts w:hint="eastAsia" w:ascii="宋体" w:hAnsi="宋体" w:eastAsia="宋体" w:cs="宋体"/>
          <w:b/>
          <w:bCs/>
          <w:color w:val="000000" w:themeColor="text1"/>
          <w:sz w:val="24"/>
          <w:szCs w:val="24"/>
        </w:rPr>
        <w:t>（二）农资电商行业存在的问题</w:t>
      </w:r>
    </w:p>
    <w:p>
      <w:pPr>
        <w:pageBreakBefore w:val="0"/>
        <w:kinsoku/>
        <w:wordWrap/>
        <w:overflowPunct/>
        <w:topLinePunct w:val="0"/>
        <w:bidi w:val="0"/>
        <w:spacing w:after="0" w:line="360" w:lineRule="auto"/>
        <w:ind w:left="0" w:leftChars="0" w:right="0" w:rightChars="0" w:firstLine="480" w:firstLineChars="200"/>
        <w:jc w:val="both"/>
        <w:textAlignment w:val="auto"/>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1、用户受传统交易模式和消费观念影响，对电子商务信任度不高， 网购消费习惯尚未养成</w:t>
      </w:r>
    </w:p>
    <w:p>
      <w:pPr>
        <w:pageBreakBefore w:val="0"/>
        <w:kinsoku/>
        <w:wordWrap/>
        <w:overflowPunct/>
        <w:topLinePunct w:val="0"/>
        <w:bidi w:val="0"/>
        <w:spacing w:after="0" w:line="360" w:lineRule="auto"/>
        <w:ind w:left="0" w:leftChars="0" w:right="0" w:rightChars="0" w:firstLine="480" w:firstLineChars="200"/>
        <w:jc w:val="both"/>
        <w:textAlignment w:val="auto"/>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很多农资电商的交易模式与传统销售模式和消费习惯完全不一样，网上商务平台交易代替了直观的店面购物，网上支付代替了传统的现金交易，</w:t>
      </w:r>
      <w:r>
        <w:rPr>
          <w:rFonts w:hint="eastAsia" w:ascii="宋体" w:hAnsi="宋体" w:eastAsia="宋体" w:cs="宋体"/>
          <w:sz w:val="24"/>
          <w:szCs w:val="24"/>
        </w:rPr>
        <w:t>这些形式转变，肯定会让农村的消费者对产品质量、售后服务及信誉保证等产生不信任，因此</w:t>
      </w:r>
      <w:r>
        <w:rPr>
          <w:rFonts w:hint="eastAsia" w:ascii="宋体" w:hAnsi="宋体" w:eastAsia="宋体" w:cs="宋体"/>
          <w:color w:val="000000" w:themeColor="text1"/>
          <w:sz w:val="24"/>
          <w:szCs w:val="24"/>
        </w:rPr>
        <w:t>许多用户不愿进行网上交易，对网上交易的安全性、可靠性持怀疑态度。</w:t>
      </w:r>
    </w:p>
    <w:p>
      <w:pPr>
        <w:pageBreakBefore w:val="0"/>
        <w:kinsoku/>
        <w:wordWrap/>
        <w:overflowPunct/>
        <w:topLinePunct w:val="0"/>
        <w:bidi w:val="0"/>
        <w:spacing w:after="0" w:line="360" w:lineRule="auto"/>
        <w:ind w:left="0" w:leftChars="0" w:right="0" w:rightChars="0" w:firstLine="480" w:firstLineChars="200"/>
        <w:jc w:val="both"/>
        <w:textAlignment w:val="auto"/>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2、农资产品的技术服务与售后问题</w:t>
      </w:r>
    </w:p>
    <w:p>
      <w:pPr>
        <w:pageBreakBefore w:val="0"/>
        <w:kinsoku/>
        <w:wordWrap/>
        <w:overflowPunct/>
        <w:topLinePunct w:val="0"/>
        <w:bidi w:val="0"/>
        <w:spacing w:after="0"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shd w:val="clear" w:color="auto" w:fill="FFFFFF"/>
        </w:rPr>
        <w:t>农资产品与一般的生产资料相比有其特殊性，其使用有很强的技术要求，使用不当的话易造成经济损失，需要一定的专业指导和售后服务。客户除了要掌握了一定的植保专业知识，还需要专业的技术支持，才能有效控制用药风险，所以一站式的服务与解决方案对这些客户更具吸引力。这方面来说，传统的销售网点有天然的优势，农资电商化后的售后服务是一个亟待解决的问题。</w:t>
      </w:r>
      <w:r>
        <w:rPr>
          <w:rFonts w:hint="eastAsia" w:ascii="宋体" w:hAnsi="宋体" w:eastAsia="宋体" w:cs="宋体"/>
          <w:sz w:val="24"/>
          <w:szCs w:val="24"/>
        </w:rPr>
        <w:t xml:space="preserve"> </w:t>
      </w:r>
    </w:p>
    <w:p>
      <w:pPr>
        <w:pageBreakBefore w:val="0"/>
        <w:kinsoku/>
        <w:wordWrap/>
        <w:overflowPunct/>
        <w:topLinePunct w:val="0"/>
        <w:bidi w:val="0"/>
        <w:spacing w:after="0" w:line="360" w:lineRule="auto"/>
        <w:ind w:left="0" w:leftChars="0" w:right="0" w:rightChars="0" w:firstLine="480" w:firstLineChars="200"/>
        <w:jc w:val="both"/>
        <w:textAlignment w:val="auto"/>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3、农资电子商务行业人才难求</w:t>
      </w:r>
    </w:p>
    <w:p>
      <w:pPr>
        <w:pageBreakBefore w:val="0"/>
        <w:kinsoku/>
        <w:wordWrap/>
        <w:overflowPunct/>
        <w:topLinePunct w:val="0"/>
        <w:bidi w:val="0"/>
        <w:spacing w:after="0" w:line="360" w:lineRule="auto"/>
        <w:ind w:left="0" w:leftChars="0" w:right="0" w:rightChars="0" w:firstLine="480" w:firstLineChars="200"/>
        <w:jc w:val="both"/>
        <w:textAlignment w:val="auto"/>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农资电子商务平台的建设与运营、农资电子商务业务的开展、农资电子商务企业的发展都离不开人才的智力支持。农资电子商务行业缺乏优秀的技术开发、运营管理、市场营销等优秀人才，特别是即具备电子商务经验和技能，又具备农业生产资料专业知识的复合型人才。</w:t>
      </w:r>
    </w:p>
    <w:p>
      <w:pPr>
        <w:pageBreakBefore w:val="0"/>
        <w:kinsoku/>
        <w:wordWrap/>
        <w:overflowPunct/>
        <w:topLinePunct w:val="0"/>
        <w:bidi w:val="0"/>
        <w:spacing w:after="0" w:line="360" w:lineRule="auto"/>
        <w:ind w:left="0" w:leftChars="0" w:right="0" w:rightChars="0" w:firstLine="480" w:firstLineChars="200"/>
        <w:jc w:val="both"/>
        <w:textAlignment w:val="auto"/>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4、信息基础设施不完善</w:t>
      </w:r>
    </w:p>
    <w:p>
      <w:pPr>
        <w:pageBreakBefore w:val="0"/>
        <w:kinsoku/>
        <w:wordWrap/>
        <w:overflowPunct/>
        <w:topLinePunct w:val="0"/>
        <w:bidi w:val="0"/>
        <w:spacing w:after="0" w:line="360" w:lineRule="auto"/>
        <w:ind w:left="0" w:leftChars="0" w:right="0" w:rightChars="0" w:firstLine="480" w:firstLineChars="200"/>
        <w:jc w:val="both"/>
        <w:textAlignment w:val="auto"/>
        <w:rPr>
          <w:rFonts w:hint="eastAsia" w:ascii="宋体" w:hAnsi="宋体" w:eastAsia="宋体" w:cs="宋体"/>
          <w:color w:val="000000" w:themeColor="text1"/>
          <w:sz w:val="24"/>
          <w:szCs w:val="24"/>
        </w:rPr>
      </w:pPr>
      <w:r>
        <w:rPr>
          <w:rFonts w:hint="eastAsia" w:ascii="宋体" w:hAnsi="宋体" w:eastAsia="宋体" w:cs="宋体"/>
          <w:sz w:val="24"/>
          <w:szCs w:val="24"/>
          <w:shd w:val="clear" w:color="auto" w:fill="FFFFFF"/>
        </w:rPr>
        <w:t>我国的电子商务起步晚，特别是广大的农村地区。与发达国家相比有很多不足之处，尤其是网络技术和安全方面的问题。特别是农村地区，互联网相关基础设施薄弱，上网资源匮乏，网络的覆盖率相对较低。另外，电子商务的应用对硬件的设备和使用都有较高的要求，广大农村用户对电子产品的使用还存在较大的障碍。</w:t>
      </w:r>
    </w:p>
    <w:p>
      <w:pPr>
        <w:pageBreakBefore w:val="0"/>
        <w:kinsoku/>
        <w:wordWrap/>
        <w:overflowPunct/>
        <w:topLinePunct w:val="0"/>
        <w:bidi w:val="0"/>
        <w:spacing w:after="0" w:line="360" w:lineRule="auto"/>
        <w:ind w:left="0" w:leftChars="0" w:right="0" w:rightChars="0" w:firstLine="480" w:firstLineChars="200"/>
        <w:jc w:val="both"/>
        <w:textAlignment w:val="auto"/>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5、相关法律法规和政策不完善，农资电子商务行业的安全问题不容忽视</w:t>
      </w:r>
    </w:p>
    <w:p>
      <w:pPr>
        <w:pageBreakBefore w:val="0"/>
        <w:kinsoku/>
        <w:wordWrap/>
        <w:overflowPunct/>
        <w:topLinePunct w:val="0"/>
        <w:bidi w:val="0"/>
        <w:spacing w:after="0" w:line="360" w:lineRule="auto"/>
        <w:ind w:left="0" w:leftChars="0" w:right="0" w:rightChars="0" w:firstLine="480" w:firstLineChars="200"/>
        <w:jc w:val="both"/>
        <w:textAlignment w:val="auto"/>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电子商务涉及到多方面的安全问题，资金问题、信息安全、货物安全、商业秘密等，这些除了与技术有关，同时还与管理和法律有关。农资电子商务行业的相关法律法规还不系统完善，其发展尚处于摸索阶段。</w:t>
      </w:r>
    </w:p>
    <w:p>
      <w:pPr>
        <w:pageBreakBefore w:val="0"/>
        <w:kinsoku/>
        <w:wordWrap/>
        <w:overflowPunct/>
        <w:topLinePunct w:val="0"/>
        <w:bidi w:val="0"/>
        <w:spacing w:after="0" w:line="360" w:lineRule="auto"/>
        <w:ind w:left="0" w:leftChars="0" w:right="0" w:rightChars="0" w:firstLine="480" w:firstLineChars="200"/>
        <w:jc w:val="both"/>
        <w:textAlignment w:val="auto"/>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我国农资电子商务行业的现状和存在的问题，表明制定《农资电子商务体系建设规范》的需求非常迫切，这对农资电子商务行业提高电商平台经营管理水平、促进行业诚信建设、保障农民权益、帮助农资零售服务终端提升农技服务水平等都具有重要意义。</w:t>
      </w:r>
    </w:p>
    <w:p>
      <w:pPr>
        <w:pageBreakBefore w:val="0"/>
        <w:kinsoku/>
        <w:wordWrap/>
        <w:overflowPunct/>
        <w:topLinePunct w:val="0"/>
        <w:bidi w:val="0"/>
        <w:spacing w:after="0" w:line="360" w:lineRule="auto"/>
        <w:ind w:left="0" w:leftChars="0" w:right="0" w:rightChars="0" w:firstLine="482" w:firstLineChars="200"/>
        <w:textAlignment w:val="auto"/>
        <w:rPr>
          <w:rFonts w:hint="eastAsia" w:ascii="宋体" w:hAnsi="宋体" w:eastAsia="宋体" w:cs="宋体"/>
          <w:b/>
          <w:bCs/>
          <w:color w:val="000000" w:themeColor="text1"/>
          <w:sz w:val="24"/>
          <w:szCs w:val="24"/>
        </w:rPr>
      </w:pPr>
      <w:r>
        <w:rPr>
          <w:rFonts w:hint="eastAsia" w:ascii="宋体" w:hAnsi="宋体" w:eastAsia="宋体" w:cs="宋体"/>
          <w:b/>
          <w:bCs/>
          <w:color w:val="000000" w:themeColor="text1"/>
          <w:sz w:val="24"/>
          <w:szCs w:val="24"/>
        </w:rPr>
        <w:t>（三）制定《农资电子商务体系建设规范》的必要性</w:t>
      </w:r>
    </w:p>
    <w:p>
      <w:pPr>
        <w:pageBreakBefore w:val="0"/>
        <w:kinsoku/>
        <w:wordWrap/>
        <w:overflowPunct/>
        <w:topLinePunct w:val="0"/>
        <w:bidi w:val="0"/>
        <w:spacing w:after="0" w:line="360" w:lineRule="auto"/>
        <w:ind w:left="0" w:leftChars="0" w:right="0" w:rightChars="0" w:firstLine="480" w:firstLineChars="200"/>
        <w:jc w:val="both"/>
        <w:textAlignment w:val="auto"/>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1、本标准的制定可以为开展农资电子商务平台的建设与运营提供统一的理论指导，推动行业发展</w:t>
      </w:r>
    </w:p>
    <w:p>
      <w:pPr>
        <w:pageBreakBefore w:val="0"/>
        <w:kinsoku/>
        <w:wordWrap/>
        <w:overflowPunct/>
        <w:topLinePunct w:val="0"/>
        <w:bidi w:val="0"/>
        <w:spacing w:after="0"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农资电子商务平台的建设是一项复杂的系统工程，它不但涉及到计算机、通讯、信息通讯与编码、加密、认证等多种技术手段；还涉及到企业、商家、银行、消费者。为使构成电子商务平台系统的各组成部分能够协调一致地工作，基础工作就是规范化，即通过对农资电子商务平台及其运营的各个方面及环节制定、发布和实施规范，使参与各方必须遵循相关的标准、协议和规范。可以说，农资电子商务体系建设规范为建设农资电子商务平台提供了科学的理论依据，对参与各方起到规范与指导的作用，是实现农资电子商务发展的根本保证。</w:t>
      </w:r>
    </w:p>
    <w:p>
      <w:pPr>
        <w:pageBreakBefore w:val="0"/>
        <w:kinsoku/>
        <w:wordWrap/>
        <w:overflowPunct/>
        <w:topLinePunct w:val="0"/>
        <w:bidi w:val="0"/>
        <w:spacing w:after="0"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农资电子商务体系建设规范发挥着对平台中其他组成，如实施者和监督者、市场和应用、人才、基础设施等的指导与规范作用，成为农资电子商务得以开展的前提条件。制定电子商务规范、建立健全农资电子商务规范体系是当前农资电子商务发展的需求，也是进一步推动农资电子商务发展的具体措施。 </w:t>
      </w:r>
    </w:p>
    <w:p>
      <w:pPr>
        <w:pageBreakBefore w:val="0"/>
        <w:kinsoku/>
        <w:wordWrap/>
        <w:overflowPunct/>
        <w:topLinePunct w:val="0"/>
        <w:bidi w:val="0"/>
        <w:spacing w:after="0" w:line="360" w:lineRule="auto"/>
        <w:ind w:left="0" w:leftChars="0" w:right="0" w:rightChars="0" w:firstLine="480" w:firstLineChars="200"/>
        <w:jc w:val="both"/>
        <w:textAlignment w:val="auto"/>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2、本标准的制定有利于规范农资电子商务平台内部的管理经营行为</w:t>
      </w:r>
    </w:p>
    <w:p>
      <w:pPr>
        <w:pageBreakBefore w:val="0"/>
        <w:kinsoku/>
        <w:wordWrap/>
        <w:overflowPunct/>
        <w:topLinePunct w:val="0"/>
        <w:bidi w:val="0"/>
        <w:spacing w:after="0"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制定和实施农资电子商务体系建设规范有利于规范电子商务平台内部的管理行为，降低管理运营成本，提高平台运作效率，提升平台效益。</w:t>
      </w:r>
    </w:p>
    <w:p>
      <w:pPr>
        <w:pageBreakBefore w:val="0"/>
        <w:kinsoku/>
        <w:wordWrap/>
        <w:overflowPunct/>
        <w:topLinePunct w:val="0"/>
        <w:bidi w:val="0"/>
        <w:spacing w:after="0"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通过标准来规范平台的管理运营和完善作业流程，从而减少或消除对平台运作造成消极影响的因素，促使农资电商平台提供质量过关的产品、专业的技术服务、完善的售后服务等。同时通过制定标准可以淘汰掉一部分不合格的农资电商，倒逼一部分农资电商开展自身的升级改革，加快规范化、正规化进程，并且为优秀的农资电商营造了一个更加成熟、更有益于发展的市场环境。</w:t>
      </w:r>
    </w:p>
    <w:p>
      <w:pPr>
        <w:pageBreakBefore w:val="0"/>
        <w:kinsoku/>
        <w:wordWrap/>
        <w:overflowPunct/>
        <w:topLinePunct w:val="0"/>
        <w:bidi w:val="0"/>
        <w:spacing w:after="0"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本标准的制定可以推动农资电商平台建立完善人才制度，通过规范管理经营行为可以规范平台的组织架构、岗位设置等方面，从而促使平台吸收和培养自身所需的人才，改善用人制度，完善人才架构。</w:t>
      </w:r>
    </w:p>
    <w:p>
      <w:pPr>
        <w:pageBreakBefore w:val="0"/>
        <w:kinsoku/>
        <w:wordWrap/>
        <w:overflowPunct/>
        <w:topLinePunct w:val="0"/>
        <w:bidi w:val="0"/>
        <w:spacing w:after="0" w:line="360" w:lineRule="auto"/>
        <w:ind w:left="0" w:leftChars="0" w:right="0" w:rightChars="0" w:firstLine="630"/>
        <w:jc w:val="both"/>
        <w:textAlignment w:val="auto"/>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3、本标准的制定可以给农资电子商务平台活动提供基本的安全指南</w:t>
      </w:r>
    </w:p>
    <w:p>
      <w:pPr>
        <w:pageBreakBefore w:val="0"/>
        <w:kinsoku/>
        <w:wordWrap/>
        <w:overflowPunct/>
        <w:topLinePunct w:val="0"/>
        <w:bidi w:val="0"/>
        <w:spacing w:after="0" w:line="360" w:lineRule="auto"/>
        <w:ind w:left="0" w:leftChars="0" w:right="0" w:rightChars="0" w:firstLine="630"/>
        <w:jc w:val="both"/>
        <w:textAlignment w:val="auto"/>
        <w:rPr>
          <w:rFonts w:hint="eastAsia" w:ascii="宋体" w:hAnsi="宋体" w:eastAsia="宋体" w:cs="宋体"/>
          <w:color w:val="000000" w:themeColor="text1"/>
          <w:sz w:val="24"/>
          <w:szCs w:val="24"/>
        </w:rPr>
      </w:pPr>
      <w:r>
        <w:rPr>
          <w:rFonts w:hint="eastAsia" w:ascii="宋体" w:hAnsi="宋体" w:eastAsia="宋体" w:cs="宋体"/>
          <w:sz w:val="24"/>
          <w:szCs w:val="24"/>
        </w:rPr>
        <w:t>电子商务平台建设和运营过程中存在很多威胁平台、用户等参与方安全的因素，农资电子商务体系建设规范为平台的活动提供了最基本的安全指南。规范通过安全风险预先防范、风险识别、风险控制、备份及恢复等相关安全内容的制订，把那些对农资电子商务活动安全可能产生威胁的因素加以防范，从而做到未雨绸缪、有备无患。在技术使用或管理运营过程中存在的多种选择情况下，经过比较与筛选之后，择优而用，确定最优化和最可靠的形式，以规范方式固定下来。农资电子商务体系建设规范同样可以起到安全屏蔽作用，为农资电子商务活动提供最基本的安全保障。</w:t>
      </w:r>
    </w:p>
    <w:p>
      <w:pPr>
        <w:pStyle w:val="2"/>
        <w:pageBreakBefore w:val="0"/>
        <w:kinsoku/>
        <w:wordWrap/>
        <w:overflowPunct/>
        <w:topLinePunct w:val="0"/>
        <w:bidi w:val="0"/>
        <w:spacing w:before="0" w:after="0" w:line="360" w:lineRule="auto"/>
        <w:ind w:left="0" w:leftChars="0" w:right="0" w:rightChars="0"/>
        <w:textAlignment w:val="auto"/>
        <w:rPr>
          <w:rFonts w:hint="eastAsia" w:ascii="宋体" w:hAnsi="宋体" w:eastAsia="宋体" w:cs="宋体"/>
          <w:color w:val="000000" w:themeColor="text1"/>
          <w:sz w:val="24"/>
          <w:szCs w:val="24"/>
        </w:rPr>
      </w:pPr>
      <w:bookmarkStart w:id="2" w:name="_Toc488737342"/>
      <w:r>
        <w:rPr>
          <w:rFonts w:hint="eastAsia" w:ascii="宋体" w:hAnsi="宋体" w:eastAsia="宋体" w:cs="宋体"/>
          <w:color w:val="000000" w:themeColor="text1"/>
          <w:sz w:val="24"/>
          <w:szCs w:val="24"/>
        </w:rPr>
        <w:t>三、本标准的编制原则</w:t>
      </w:r>
      <w:bookmarkEnd w:id="2"/>
    </w:p>
    <w:p>
      <w:pPr>
        <w:pageBreakBefore w:val="0"/>
        <w:kinsoku/>
        <w:wordWrap/>
        <w:overflowPunct/>
        <w:topLinePunct w:val="0"/>
        <w:bidi w:val="0"/>
        <w:spacing w:after="0"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本标准编制的主要原则如下：</w:t>
      </w:r>
    </w:p>
    <w:p>
      <w:pPr>
        <w:pageBreakBefore w:val="0"/>
        <w:kinsoku/>
        <w:wordWrap/>
        <w:overflowPunct/>
        <w:topLinePunct w:val="0"/>
        <w:bidi w:val="0"/>
        <w:spacing w:after="0" w:line="360" w:lineRule="auto"/>
        <w:ind w:left="0" w:leftChars="0" w:right="0" w:rightChars="0" w:firstLine="482" w:firstLineChars="200"/>
        <w:jc w:val="both"/>
        <w:textAlignment w:val="auto"/>
        <w:rPr>
          <w:rFonts w:hint="eastAsia" w:ascii="宋体" w:hAnsi="宋体" w:eastAsia="宋体" w:cs="宋体"/>
          <w:b/>
          <w:color w:val="000000" w:themeColor="text1"/>
          <w:sz w:val="24"/>
          <w:szCs w:val="24"/>
        </w:rPr>
      </w:pPr>
      <w:r>
        <w:rPr>
          <w:rFonts w:hint="eastAsia" w:ascii="宋体" w:hAnsi="宋体" w:eastAsia="宋体" w:cs="宋体"/>
          <w:b/>
          <w:color w:val="000000" w:themeColor="text1"/>
          <w:sz w:val="24"/>
          <w:szCs w:val="24"/>
        </w:rPr>
        <w:t>（一）适用性</w:t>
      </w:r>
    </w:p>
    <w:p>
      <w:pPr>
        <w:pageBreakBefore w:val="0"/>
        <w:kinsoku/>
        <w:wordWrap/>
        <w:overflowPunct/>
        <w:topLinePunct w:val="0"/>
        <w:bidi w:val="0"/>
        <w:spacing w:after="0" w:line="360" w:lineRule="auto"/>
        <w:ind w:left="0" w:leftChars="0" w:right="0" w:rightChars="0" w:firstLine="480" w:firstLineChars="200"/>
        <w:jc w:val="both"/>
        <w:textAlignment w:val="auto"/>
        <w:rPr>
          <w:rFonts w:hint="eastAsia" w:ascii="宋体" w:hAnsi="宋体" w:eastAsia="宋体" w:cs="宋体"/>
          <w:color w:val="000000" w:themeColor="text1"/>
          <w:sz w:val="24"/>
          <w:szCs w:val="24"/>
        </w:rPr>
      </w:pPr>
      <w:r>
        <w:rPr>
          <w:rFonts w:hint="eastAsia" w:ascii="宋体" w:hAnsi="宋体" w:eastAsia="宋体" w:cs="宋体"/>
          <w:sz w:val="24"/>
          <w:szCs w:val="24"/>
        </w:rPr>
        <w:t>在本标准的编制过程中要注意标准的适用范围，力求标准中的要求能够适用于农资电子商务平台的建设与运营，既不要让标准所涵盖的领域过宽，也不要让标准所涵盖的领域过窄。 制定标准时要注意标准所涉及的技术内容是否满足既定的需求，如软硬件条件和技术条件；标准制定的原则是否便于遵守，标准规定的评审与检查内容是否具有可操作性等。</w:t>
      </w:r>
    </w:p>
    <w:p>
      <w:pPr>
        <w:pStyle w:val="17"/>
        <w:pageBreakBefore w:val="0"/>
        <w:kinsoku/>
        <w:wordWrap/>
        <w:overflowPunct/>
        <w:topLinePunct w:val="0"/>
        <w:bidi w:val="0"/>
        <w:spacing w:after="0" w:line="360" w:lineRule="auto"/>
        <w:ind w:left="0" w:leftChars="0" w:right="0" w:rightChars="0" w:firstLine="640"/>
        <w:jc w:val="both"/>
        <w:textAlignment w:val="auto"/>
        <w:rPr>
          <w:rFonts w:hint="eastAsia" w:ascii="宋体" w:hAnsi="宋体" w:eastAsia="宋体" w:cs="宋体"/>
          <w:b/>
          <w:color w:val="000000" w:themeColor="text1"/>
          <w:sz w:val="24"/>
          <w:szCs w:val="24"/>
        </w:rPr>
      </w:pPr>
      <w:r>
        <w:rPr>
          <w:rFonts w:hint="eastAsia" w:ascii="宋体" w:hAnsi="宋体" w:eastAsia="宋体" w:cs="宋体"/>
          <w:b/>
          <w:color w:val="000000" w:themeColor="text1"/>
          <w:sz w:val="24"/>
          <w:szCs w:val="24"/>
        </w:rPr>
        <w:t>（二）经济性和社会效益</w:t>
      </w:r>
    </w:p>
    <w:p>
      <w:pPr>
        <w:pageBreakBefore w:val="0"/>
        <w:kinsoku/>
        <w:wordWrap/>
        <w:overflowPunct/>
        <w:topLinePunct w:val="0"/>
        <w:bidi w:val="0"/>
        <w:spacing w:after="0" w:line="360" w:lineRule="auto"/>
        <w:ind w:left="0" w:leftChars="0" w:right="0" w:rightChars="0" w:firstLine="480" w:firstLineChars="200"/>
        <w:jc w:val="both"/>
        <w:textAlignment w:val="auto"/>
        <w:rPr>
          <w:rFonts w:hint="eastAsia" w:ascii="宋体" w:hAnsi="宋体" w:eastAsia="宋体" w:cs="宋体"/>
          <w:color w:val="000000" w:themeColor="text1"/>
          <w:sz w:val="24"/>
          <w:szCs w:val="24"/>
        </w:rPr>
      </w:pPr>
      <w:r>
        <w:rPr>
          <w:rFonts w:hint="eastAsia" w:ascii="宋体" w:hAnsi="宋体" w:eastAsia="宋体" w:cs="宋体"/>
          <w:sz w:val="24"/>
          <w:szCs w:val="24"/>
        </w:rPr>
        <w:t>制定标准时要以满足实际需要出发，不要一味地追求高性能、高指标，避免造成经济浪费。 要结合我国国情积极采用国际标准和国外先进标准，在</w:t>
      </w:r>
      <w:r>
        <w:rPr>
          <w:rFonts w:hint="eastAsia" w:ascii="宋体" w:hAnsi="宋体" w:eastAsia="宋体" w:cs="宋体"/>
          <w:color w:val="000000" w:themeColor="text1"/>
          <w:sz w:val="24"/>
          <w:szCs w:val="24"/>
        </w:rPr>
        <w:t>充分考虑我国农资电子商务行业人才培养、网络基础设施建设、网络服务普及程度等实际情况下</w:t>
      </w:r>
      <w:r>
        <w:rPr>
          <w:rFonts w:hint="eastAsia" w:ascii="宋体" w:hAnsi="宋体" w:eastAsia="宋体" w:cs="宋体"/>
          <w:sz w:val="24"/>
          <w:szCs w:val="24"/>
        </w:rPr>
        <w:t>，</w:t>
      </w:r>
      <w:r>
        <w:rPr>
          <w:rFonts w:hint="eastAsia" w:ascii="宋体" w:hAnsi="宋体" w:eastAsia="宋体" w:cs="宋体"/>
          <w:color w:val="000000" w:themeColor="text1"/>
          <w:sz w:val="24"/>
          <w:szCs w:val="24"/>
        </w:rPr>
        <w:t>选择制定最适合我国农资电子商务行业发展需要的技术指标、管理模式、运营体系等内容。</w:t>
      </w:r>
    </w:p>
    <w:p>
      <w:pPr>
        <w:pageBreakBefore w:val="0"/>
        <w:kinsoku/>
        <w:wordWrap/>
        <w:overflowPunct/>
        <w:topLinePunct w:val="0"/>
        <w:bidi w:val="0"/>
        <w:spacing w:after="0" w:line="360" w:lineRule="auto"/>
        <w:ind w:left="0" w:leftChars="0" w:right="0" w:rightChars="0" w:firstLine="482" w:firstLineChars="200"/>
        <w:jc w:val="both"/>
        <w:textAlignment w:val="auto"/>
        <w:rPr>
          <w:rFonts w:hint="eastAsia" w:ascii="宋体" w:hAnsi="宋体" w:eastAsia="宋体" w:cs="宋体"/>
          <w:b/>
          <w:color w:val="000000" w:themeColor="text1"/>
          <w:sz w:val="24"/>
          <w:szCs w:val="24"/>
        </w:rPr>
      </w:pPr>
      <w:r>
        <w:rPr>
          <w:rFonts w:hint="eastAsia" w:ascii="宋体" w:hAnsi="宋体" w:eastAsia="宋体" w:cs="宋体"/>
          <w:b/>
          <w:color w:val="000000" w:themeColor="text1"/>
          <w:sz w:val="24"/>
          <w:szCs w:val="24"/>
        </w:rPr>
        <w:t>（三）统一性和协调性</w:t>
      </w:r>
    </w:p>
    <w:p>
      <w:pPr>
        <w:pageBreakBefore w:val="0"/>
        <w:kinsoku/>
        <w:wordWrap/>
        <w:overflowPunct/>
        <w:topLinePunct w:val="0"/>
        <w:bidi w:val="0"/>
        <w:spacing w:after="0"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在本标准的编制过程中要注意符合法律法规的规定以及与相关标准协调，避免与相关的电子商务法律法规、相关国家和行业标准之间出现矛盾，给标准的实施造成困难。同时也要充分考虑和结合农资电子商务行业自身的特殊性，即体现出农资电子商务行业标准的不同，又不与相关法律法规和标准相矛盾，还起到相互补充完善的作用。</w:t>
      </w:r>
    </w:p>
    <w:p>
      <w:pPr>
        <w:pStyle w:val="2"/>
        <w:pageBreakBefore w:val="0"/>
        <w:kinsoku/>
        <w:wordWrap/>
        <w:overflowPunct/>
        <w:topLinePunct w:val="0"/>
        <w:bidi w:val="0"/>
        <w:spacing w:before="0" w:after="0" w:line="360" w:lineRule="auto"/>
        <w:ind w:left="0" w:leftChars="0" w:right="0" w:rightChars="0"/>
        <w:textAlignment w:val="auto"/>
        <w:rPr>
          <w:rFonts w:hint="eastAsia" w:ascii="宋体" w:hAnsi="宋体" w:eastAsia="宋体" w:cs="宋体"/>
          <w:color w:val="000000" w:themeColor="text1"/>
          <w:sz w:val="24"/>
          <w:szCs w:val="24"/>
        </w:rPr>
      </w:pPr>
      <w:bookmarkStart w:id="3" w:name="_Toc488737343"/>
      <w:r>
        <w:rPr>
          <w:rFonts w:hint="eastAsia" w:ascii="宋体" w:hAnsi="宋体" w:eastAsia="宋体" w:cs="宋体"/>
          <w:color w:val="000000" w:themeColor="text1"/>
          <w:sz w:val="24"/>
          <w:szCs w:val="24"/>
        </w:rPr>
        <w:t>四、确定本标准主要内容的依据</w:t>
      </w:r>
      <w:bookmarkEnd w:id="3"/>
    </w:p>
    <w:p>
      <w:pPr>
        <w:pageBreakBefore w:val="0"/>
        <w:kinsoku/>
        <w:wordWrap/>
        <w:overflowPunct/>
        <w:topLinePunct w:val="0"/>
        <w:bidi w:val="0"/>
        <w:spacing w:after="0" w:line="360" w:lineRule="auto"/>
        <w:ind w:left="0" w:leftChars="0" w:right="0" w:rightChars="0" w:firstLine="482" w:firstLineChars="200"/>
        <w:jc w:val="both"/>
        <w:textAlignment w:val="auto"/>
        <w:rPr>
          <w:rFonts w:hint="eastAsia" w:ascii="宋体" w:hAnsi="宋体" w:eastAsia="宋体" w:cs="宋体"/>
          <w:b/>
          <w:color w:val="000000" w:themeColor="text1"/>
          <w:sz w:val="24"/>
          <w:szCs w:val="24"/>
        </w:rPr>
      </w:pPr>
      <w:r>
        <w:rPr>
          <w:rFonts w:hint="eastAsia" w:ascii="宋体" w:hAnsi="宋体" w:eastAsia="宋体" w:cs="宋体"/>
          <w:b/>
          <w:color w:val="000000" w:themeColor="text1"/>
          <w:sz w:val="24"/>
          <w:szCs w:val="24"/>
        </w:rPr>
        <w:t>（一）国家相关法律法规和政策规定的有关要求</w:t>
      </w:r>
    </w:p>
    <w:p>
      <w:pPr>
        <w:pageBreakBefore w:val="0"/>
        <w:kinsoku/>
        <w:wordWrap/>
        <w:overflowPunct/>
        <w:topLinePunct w:val="0"/>
        <w:bidi w:val="0"/>
        <w:spacing w:after="0" w:line="360" w:lineRule="auto"/>
        <w:ind w:left="0" w:leftChars="0" w:right="0" w:rightChars="0" w:firstLine="480" w:firstLineChars="200"/>
        <w:jc w:val="both"/>
        <w:textAlignment w:val="auto"/>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本标准主要立足于我国与电子商务平台发展和农资管理相关的法律法规和行业政策规定的要求，在学习并遵守这些要求的基础上，将这些要求作为编制《农资电子商务体系建设规范》的基本依据。</w:t>
      </w:r>
    </w:p>
    <w:p>
      <w:pPr>
        <w:pageBreakBefore w:val="0"/>
        <w:kinsoku/>
        <w:wordWrap/>
        <w:overflowPunct/>
        <w:topLinePunct w:val="0"/>
        <w:bidi w:val="0"/>
        <w:spacing w:after="0" w:line="360" w:lineRule="auto"/>
        <w:ind w:left="0" w:leftChars="0" w:right="0" w:rightChars="0" w:firstLine="480" w:firstLineChars="200"/>
        <w:jc w:val="both"/>
        <w:textAlignment w:val="auto"/>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依据的相关法律法规包括：《中华人民共和国合同法》《中华人民共和国产品质量法》、《中华人民共和国消费者权益保护法》、《中华人民共和国电子签名法》《中华人民共和国种子法》、《中华人民共和国农业机械化促进法》等。</w:t>
      </w:r>
    </w:p>
    <w:p>
      <w:pPr>
        <w:pageBreakBefore w:val="0"/>
        <w:kinsoku/>
        <w:wordWrap/>
        <w:overflowPunct/>
        <w:topLinePunct w:val="0"/>
        <w:bidi w:val="0"/>
        <w:spacing w:after="0" w:line="360" w:lineRule="auto"/>
        <w:ind w:left="0" w:leftChars="0" w:right="0" w:rightChars="0" w:firstLine="480" w:firstLineChars="200"/>
        <w:jc w:val="both"/>
        <w:textAlignment w:val="auto"/>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依据的相关政策包括：《互联网信息服务管理办法》（国务院令第292号，2000年）、《网络商品交易及有关服务行为管理暂行办法》（国家工商行政管理总局令第49号，2010年）、《第三方电子商务交易平台服务规范》（商务部令第18号，2011年）、《化肥淡季商业储备管理办法（征求意见稿）》（国家发改委、财政部，2016年）、《农药登记试验管理办法》（农业部令第6号，2017年）、《农药管理条例》（国务院令第667号，2017年）、《肥料登记管理办法》（农业部令第 32 号，2000 年)、《农作物种子标签和使用说明管理办法》(农业部令第 6号，2016 年)、《农业生产资料监督管理工作暂行规定》（农业部农市发13号，2005年）、《农业生产资料市场监督管理办法》(国家工商行政管理总局令第45号，2009年)等。</w:t>
      </w:r>
    </w:p>
    <w:p>
      <w:pPr>
        <w:pageBreakBefore w:val="0"/>
        <w:kinsoku/>
        <w:wordWrap/>
        <w:overflowPunct/>
        <w:topLinePunct w:val="0"/>
        <w:bidi w:val="0"/>
        <w:spacing w:after="0" w:line="360" w:lineRule="auto"/>
        <w:ind w:left="0" w:leftChars="0" w:right="0" w:rightChars="0" w:firstLine="482" w:firstLineChars="200"/>
        <w:jc w:val="both"/>
        <w:textAlignment w:val="auto"/>
        <w:rPr>
          <w:rFonts w:hint="eastAsia" w:ascii="宋体" w:hAnsi="宋体" w:eastAsia="宋体" w:cs="宋体"/>
          <w:b/>
          <w:color w:val="000000" w:themeColor="text1"/>
          <w:sz w:val="24"/>
          <w:szCs w:val="24"/>
        </w:rPr>
      </w:pPr>
      <w:r>
        <w:rPr>
          <w:rFonts w:hint="eastAsia" w:ascii="宋体" w:hAnsi="宋体" w:eastAsia="宋体" w:cs="宋体"/>
          <w:b/>
          <w:color w:val="000000" w:themeColor="text1"/>
          <w:sz w:val="24"/>
          <w:szCs w:val="24"/>
        </w:rPr>
        <w:t>（二）有关标准的要求</w:t>
      </w:r>
    </w:p>
    <w:p>
      <w:pPr>
        <w:pageBreakBefore w:val="0"/>
        <w:kinsoku/>
        <w:wordWrap/>
        <w:overflowPunct/>
        <w:topLinePunct w:val="0"/>
        <w:bidi w:val="0"/>
        <w:spacing w:after="0"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本标准同时借鉴了相关标准的要求，这些标准包括《GB/T8567-2006  计算机软件文档编制规范》、《GB/T1181-2012  电子商务基本术语》、《GB/T18769-2003  大宗商品电子交易规范》、《SB/T10519-2009  网络交易服务规范》、《SB/T10528-2009  电子商务模式规范》、《SB/T10721-2012  金属材料电子商务平台建设与管理规范》、《GB/T22081-2008/ISO/IEC27002:2005  信息技术 安全技术  信息安全管理实用守则》等。其中有关电子商务平台建设与管理的行业标准《SB/T10721-2012    金属材料电子商务平台建设与管理规范》更是起到了关键的作用。</w:t>
      </w:r>
    </w:p>
    <w:p>
      <w:pPr>
        <w:pageBreakBefore w:val="0"/>
        <w:kinsoku/>
        <w:wordWrap/>
        <w:overflowPunct/>
        <w:topLinePunct w:val="0"/>
        <w:bidi w:val="0"/>
        <w:spacing w:after="0" w:line="360" w:lineRule="auto"/>
        <w:ind w:left="0" w:leftChars="0" w:right="0" w:rightChars="0" w:firstLine="480" w:firstLineChars="200"/>
        <w:jc w:val="both"/>
        <w:textAlignment w:val="auto"/>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《SB/T10721-2012   金属材料电子商务平台建设与管理规范》中强调了电子商务平台建设管理需遵循的安全诚信、公平公正公开、业务分离、真实交易、鼓励与促进等基本原则和思想，而在建设规范中强调了安全保障和信用评价体系的建设，在管理规范中强调建立风险控制制度、接受行业协会的监督与管理、保障交易客户在交易过程中的合法权益等内容。这些都是电子商务平台建立和得到用户认可，并为电子商务这一新的交易方式赢得农资市场的重要前提，是符合农资电子商务平台最广大用户利益、对农资电子商务行业的发展具有规范作用。</w:t>
      </w:r>
    </w:p>
    <w:p>
      <w:pPr>
        <w:pageBreakBefore w:val="0"/>
        <w:kinsoku/>
        <w:wordWrap/>
        <w:overflowPunct/>
        <w:topLinePunct w:val="0"/>
        <w:bidi w:val="0"/>
        <w:spacing w:after="0" w:line="360" w:lineRule="auto"/>
        <w:ind w:left="0" w:leftChars="0" w:right="0" w:rightChars="0" w:firstLine="480" w:firstLineChars="200"/>
        <w:jc w:val="both"/>
        <w:textAlignment w:val="auto"/>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《SB/T10721-2012   金属材料电子商务平台建设与管理规范》的这些思想和要求是包含严密的逻辑关系、系统的理论指导和科学的管理方法，因而也成为建立《农资电子商务体系建设规范》的基础和依据。</w:t>
      </w:r>
    </w:p>
    <w:p>
      <w:pPr>
        <w:pageBreakBefore w:val="0"/>
        <w:kinsoku/>
        <w:wordWrap/>
        <w:overflowPunct/>
        <w:topLinePunct w:val="0"/>
        <w:bidi w:val="0"/>
        <w:spacing w:after="0" w:line="360" w:lineRule="auto"/>
        <w:ind w:left="0" w:leftChars="0" w:right="0" w:rightChars="0" w:firstLine="482" w:firstLineChars="200"/>
        <w:jc w:val="both"/>
        <w:textAlignment w:val="auto"/>
        <w:rPr>
          <w:rFonts w:hint="eastAsia" w:ascii="宋体" w:hAnsi="宋体" w:eastAsia="宋体" w:cs="宋体"/>
          <w:b/>
          <w:color w:val="000000" w:themeColor="text1"/>
          <w:sz w:val="24"/>
          <w:szCs w:val="24"/>
        </w:rPr>
      </w:pPr>
      <w:bookmarkStart w:id="4" w:name="_Toc324258637"/>
      <w:bookmarkStart w:id="5" w:name="_Toc12636"/>
      <w:bookmarkStart w:id="6" w:name="_Toc5494"/>
      <w:r>
        <w:rPr>
          <w:rFonts w:hint="eastAsia" w:ascii="宋体" w:hAnsi="宋体" w:eastAsia="宋体" w:cs="宋体"/>
          <w:b/>
          <w:color w:val="000000" w:themeColor="text1"/>
          <w:sz w:val="24"/>
          <w:szCs w:val="24"/>
        </w:rPr>
        <w:t>（三）国内外电子商务体系管理理论、制度及要求</w:t>
      </w:r>
      <w:bookmarkEnd w:id="4"/>
      <w:bookmarkEnd w:id="5"/>
      <w:bookmarkEnd w:id="6"/>
    </w:p>
    <w:p>
      <w:pPr>
        <w:pageBreakBefore w:val="0"/>
        <w:kinsoku/>
        <w:wordWrap/>
        <w:overflowPunct/>
        <w:topLinePunct w:val="0"/>
        <w:bidi w:val="0"/>
        <w:spacing w:after="0" w:line="360" w:lineRule="auto"/>
        <w:ind w:left="0" w:leftChars="0" w:right="0" w:rightChars="0" w:firstLine="480" w:firstLineChars="200"/>
        <w:jc w:val="both"/>
        <w:textAlignment w:val="auto"/>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本标准的编制，研究借鉴了国内外电子商务体系的相关理论，尤其是其建设与管理运营的理论。同时，也收集和采纳了我国许多农资企业在电子商务开展和管理上的宝贵经验。包括：</w:t>
      </w:r>
    </w:p>
    <w:p>
      <w:pPr>
        <w:pageBreakBefore w:val="0"/>
        <w:kinsoku/>
        <w:wordWrap/>
        <w:overflowPunct/>
        <w:topLinePunct w:val="0"/>
        <w:bidi w:val="0"/>
        <w:spacing w:after="0" w:line="360" w:lineRule="auto"/>
        <w:ind w:left="0" w:leftChars="0" w:right="0" w:rightChars="0" w:firstLine="480" w:firstLineChars="200"/>
        <w:jc w:val="both"/>
        <w:textAlignment w:val="auto"/>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农资企业总结并形成了一些电子商务业务模式,如：</w:t>
      </w:r>
      <w:r>
        <w:rPr>
          <w:rFonts w:hint="eastAsia" w:ascii="宋体" w:hAnsi="宋体" w:eastAsia="宋体" w:cs="宋体"/>
          <w:color w:val="000000" w:themeColor="text1"/>
          <w:sz w:val="24"/>
          <w:szCs w:val="24"/>
          <w:shd w:val="clear" w:color="auto" w:fill="FFFFFF"/>
        </w:rPr>
        <w:t>网上直接采购，又称挂牌交易，直接将农资产品以低于市场批发价或零售价的方式，在网站或商城销售</w:t>
      </w:r>
      <w:r>
        <w:rPr>
          <w:rFonts w:hint="eastAsia" w:ascii="宋体" w:hAnsi="宋体" w:eastAsia="宋体" w:cs="宋体"/>
          <w:color w:val="000000" w:themeColor="text1"/>
          <w:sz w:val="24"/>
          <w:szCs w:val="24"/>
        </w:rPr>
        <w:t>；</w:t>
      </w:r>
      <w:r>
        <w:rPr>
          <w:rFonts w:hint="eastAsia" w:ascii="宋体" w:hAnsi="宋体" w:eastAsia="宋体" w:cs="宋体"/>
          <w:color w:val="000000" w:themeColor="text1"/>
          <w:sz w:val="24"/>
          <w:szCs w:val="24"/>
          <w:shd w:val="clear" w:color="auto" w:fill="FFFFFF"/>
        </w:rPr>
        <w:t>农资线上团购，在某一地区某一时间，以便宜的价格推出某一团购产品</w:t>
      </w:r>
      <w:r>
        <w:rPr>
          <w:rFonts w:hint="eastAsia" w:ascii="宋体" w:hAnsi="宋体" w:eastAsia="宋体" w:cs="宋体"/>
          <w:color w:val="000000" w:themeColor="text1"/>
          <w:sz w:val="24"/>
          <w:szCs w:val="24"/>
        </w:rPr>
        <w:t>；</w:t>
      </w:r>
      <w:r>
        <w:rPr>
          <w:rFonts w:hint="eastAsia" w:ascii="宋体" w:hAnsi="宋体" w:eastAsia="宋体" w:cs="宋体"/>
          <w:color w:val="000000" w:themeColor="text1"/>
          <w:sz w:val="24"/>
          <w:szCs w:val="24"/>
          <w:shd w:val="clear" w:color="auto" w:fill="FFFFFF"/>
        </w:rPr>
        <w:t>农资线上竞拍，农资供需双方按照规则提出最低价格，购买者或供应者提出高价或减价，通过多轮竞价后达成网上交易</w:t>
      </w:r>
      <w:r>
        <w:rPr>
          <w:rFonts w:hint="eastAsia" w:ascii="宋体" w:hAnsi="宋体" w:eastAsia="宋体" w:cs="宋体"/>
          <w:color w:val="000000" w:themeColor="text1"/>
          <w:sz w:val="24"/>
          <w:szCs w:val="24"/>
        </w:rPr>
        <w:t>；</w:t>
      </w:r>
      <w:r>
        <w:rPr>
          <w:rFonts w:hint="eastAsia" w:ascii="宋体" w:hAnsi="宋体" w:eastAsia="宋体" w:cs="宋体"/>
          <w:color w:val="000000" w:themeColor="text1"/>
          <w:sz w:val="24"/>
          <w:szCs w:val="24"/>
          <w:shd w:val="clear" w:color="auto" w:fill="FFFFFF"/>
        </w:rPr>
        <w:t>农资限时抢购，一般用于新产品试销或库存抛售，企业在非常短的时间内，以低于市场批发价格甚至出厂价格在网上销售某种农资产品</w:t>
      </w:r>
      <w:r>
        <w:rPr>
          <w:rFonts w:hint="eastAsia" w:ascii="宋体" w:hAnsi="宋体" w:eastAsia="宋体" w:cs="宋体"/>
          <w:color w:val="000000" w:themeColor="text1"/>
          <w:sz w:val="24"/>
          <w:szCs w:val="24"/>
        </w:rPr>
        <w:t>等。同时，还有</w:t>
      </w:r>
      <w:r>
        <w:rPr>
          <w:rFonts w:hint="eastAsia" w:ascii="宋体" w:hAnsi="宋体" w:eastAsia="宋体" w:cs="宋体"/>
          <w:color w:val="000000" w:themeColor="text1"/>
          <w:sz w:val="24"/>
          <w:szCs w:val="24"/>
          <w:shd w:val="clear" w:color="auto" w:fill="FFFFFF"/>
        </w:rPr>
        <w:t>将线上农机销售、农机融资租赁与线下售后服务、农技指导等结合起来，解决农民个体或集体经济组织在购买农机时遭遇的信息不对称的服务。</w:t>
      </w:r>
    </w:p>
    <w:p>
      <w:pPr>
        <w:pageBreakBefore w:val="0"/>
        <w:kinsoku/>
        <w:wordWrap/>
        <w:overflowPunct/>
        <w:topLinePunct w:val="0"/>
        <w:bidi w:val="0"/>
        <w:spacing w:after="0" w:line="360" w:lineRule="auto"/>
        <w:ind w:left="0" w:leftChars="0" w:right="0" w:rightChars="0" w:firstLine="480" w:firstLineChars="200"/>
        <w:jc w:val="both"/>
        <w:textAlignment w:val="auto"/>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我国农资企业在开展电子商务活动上的方法、技术、经验和活动，也是建立我国农资电子商务体系建设规范的基础和依据，对探索我国农资电子商务平台发展的有效途径具有重要意义。</w:t>
      </w:r>
    </w:p>
    <w:p>
      <w:pPr>
        <w:pStyle w:val="2"/>
        <w:pageBreakBefore w:val="0"/>
        <w:kinsoku/>
        <w:wordWrap/>
        <w:overflowPunct/>
        <w:topLinePunct w:val="0"/>
        <w:bidi w:val="0"/>
        <w:spacing w:before="0" w:after="0" w:line="360" w:lineRule="auto"/>
        <w:ind w:left="0" w:leftChars="0" w:right="0" w:rightChars="0"/>
        <w:textAlignment w:val="auto"/>
        <w:rPr>
          <w:rFonts w:hint="eastAsia" w:ascii="宋体" w:hAnsi="宋体" w:eastAsia="宋体" w:cs="宋体"/>
          <w:color w:val="000000" w:themeColor="text1"/>
          <w:sz w:val="24"/>
          <w:szCs w:val="24"/>
        </w:rPr>
      </w:pPr>
      <w:bookmarkStart w:id="7" w:name="_Toc488737344"/>
      <w:r>
        <w:rPr>
          <w:rFonts w:hint="eastAsia" w:ascii="宋体" w:hAnsi="宋体" w:eastAsia="宋体" w:cs="宋体"/>
          <w:color w:val="000000" w:themeColor="text1"/>
          <w:sz w:val="24"/>
          <w:szCs w:val="24"/>
        </w:rPr>
        <w:t>五、标准的编制、起草过程</w:t>
      </w:r>
      <w:bookmarkEnd w:id="7"/>
    </w:p>
    <w:p>
      <w:pPr>
        <w:pageBreakBefore w:val="0"/>
        <w:kinsoku/>
        <w:wordWrap/>
        <w:overflowPunct/>
        <w:topLinePunct w:val="0"/>
        <w:bidi w:val="0"/>
        <w:spacing w:after="0" w:line="360" w:lineRule="auto"/>
        <w:ind w:left="0" w:leftChars="0" w:right="0" w:rightChars="0" w:firstLine="482" w:firstLineChars="200"/>
        <w:jc w:val="both"/>
        <w:textAlignment w:val="auto"/>
        <w:rPr>
          <w:rFonts w:hint="eastAsia" w:ascii="宋体" w:hAnsi="宋体" w:eastAsia="宋体" w:cs="宋体"/>
          <w:b/>
          <w:color w:val="000000" w:themeColor="text1"/>
          <w:sz w:val="24"/>
          <w:szCs w:val="24"/>
        </w:rPr>
      </w:pPr>
      <w:r>
        <w:rPr>
          <w:rFonts w:hint="eastAsia" w:ascii="宋体" w:hAnsi="宋体" w:eastAsia="宋体" w:cs="宋体"/>
          <w:b/>
          <w:color w:val="000000" w:themeColor="text1"/>
          <w:sz w:val="24"/>
          <w:szCs w:val="24"/>
        </w:rPr>
        <w:t>（一）资料收集</w:t>
      </w:r>
    </w:p>
    <w:p>
      <w:pPr>
        <w:pageBreakBefore w:val="0"/>
        <w:kinsoku/>
        <w:wordWrap/>
        <w:overflowPunct/>
        <w:topLinePunct w:val="0"/>
        <w:bidi w:val="0"/>
        <w:spacing w:after="0" w:line="360" w:lineRule="auto"/>
        <w:ind w:left="0" w:leftChars="0" w:right="0" w:rightChars="0" w:firstLine="480" w:firstLineChars="200"/>
        <w:jc w:val="both"/>
        <w:textAlignment w:val="auto"/>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研究过程中收集并了解了国家有关的法律法规要求、系统分析了近年来国务院及相关部门等发布的农资电子商务和农资流通管理的相关政策、要求等。</w:t>
      </w:r>
    </w:p>
    <w:p>
      <w:pPr>
        <w:pageBreakBefore w:val="0"/>
        <w:kinsoku/>
        <w:wordWrap/>
        <w:overflowPunct/>
        <w:topLinePunct w:val="0"/>
        <w:bidi w:val="0"/>
        <w:spacing w:after="0" w:line="360" w:lineRule="auto"/>
        <w:ind w:left="0" w:leftChars="0" w:right="0" w:rightChars="0" w:firstLine="482" w:firstLineChars="200"/>
        <w:jc w:val="both"/>
        <w:textAlignment w:val="auto"/>
        <w:rPr>
          <w:rFonts w:hint="eastAsia" w:ascii="宋体" w:hAnsi="宋体" w:eastAsia="宋体" w:cs="宋体"/>
          <w:b/>
          <w:color w:val="000000" w:themeColor="text1"/>
          <w:sz w:val="24"/>
          <w:szCs w:val="24"/>
        </w:rPr>
      </w:pPr>
      <w:r>
        <w:rPr>
          <w:rFonts w:hint="eastAsia" w:ascii="宋体" w:hAnsi="宋体" w:eastAsia="宋体" w:cs="宋体"/>
          <w:b/>
          <w:color w:val="000000" w:themeColor="text1"/>
          <w:sz w:val="24"/>
          <w:szCs w:val="24"/>
        </w:rPr>
        <w:t>（二）调查研究</w:t>
      </w:r>
    </w:p>
    <w:p>
      <w:pPr>
        <w:pageBreakBefore w:val="0"/>
        <w:kinsoku/>
        <w:wordWrap/>
        <w:overflowPunct/>
        <w:topLinePunct w:val="0"/>
        <w:bidi w:val="0"/>
        <w:spacing w:after="0" w:line="360" w:lineRule="auto"/>
        <w:ind w:left="0" w:leftChars="0" w:right="0" w:rightChars="0" w:firstLine="480" w:firstLineChars="200"/>
        <w:jc w:val="both"/>
        <w:textAlignment w:val="auto"/>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根据项目要求，标准编制组制定了项目工作计划，按照计划，标准编制组先后到辽宁、吉林、江苏、安徽、河南等地，对十余家农资企业进行了重点调研。这些农资企业规模不等，以大型企业居多；涉及供销社系统内外不同行业的农资企业；涵盖了包括肥料、农药、农膜、种子、农机具及配件等主要农业生产资料产品的生产企业和经营企业。通过走访、座谈、发放问卷等方式，收集了这些农资企业的相关工作经验和管理制度，为标准的编制奠定了基础。</w:t>
      </w:r>
    </w:p>
    <w:p>
      <w:pPr>
        <w:pageBreakBefore w:val="0"/>
        <w:kinsoku/>
        <w:wordWrap/>
        <w:overflowPunct/>
        <w:topLinePunct w:val="0"/>
        <w:bidi w:val="0"/>
        <w:spacing w:after="0" w:line="360" w:lineRule="auto"/>
        <w:ind w:left="0" w:leftChars="0" w:right="0" w:rightChars="0" w:firstLine="482" w:firstLineChars="200"/>
        <w:jc w:val="both"/>
        <w:textAlignment w:val="auto"/>
        <w:rPr>
          <w:rFonts w:hint="eastAsia" w:ascii="宋体" w:hAnsi="宋体" w:eastAsia="宋体" w:cs="宋体"/>
          <w:b/>
          <w:color w:val="000000" w:themeColor="text1"/>
          <w:sz w:val="24"/>
          <w:szCs w:val="24"/>
        </w:rPr>
      </w:pPr>
      <w:r>
        <w:rPr>
          <w:rFonts w:hint="eastAsia" w:ascii="宋体" w:hAnsi="宋体" w:eastAsia="宋体" w:cs="宋体"/>
          <w:b/>
          <w:color w:val="000000" w:themeColor="text1"/>
          <w:sz w:val="24"/>
          <w:szCs w:val="24"/>
        </w:rPr>
        <w:t>（三）进行编写</w:t>
      </w:r>
    </w:p>
    <w:p>
      <w:pPr>
        <w:pageBreakBefore w:val="0"/>
        <w:kinsoku/>
        <w:wordWrap/>
        <w:overflowPunct/>
        <w:topLinePunct w:val="0"/>
        <w:bidi w:val="0"/>
        <w:spacing w:after="0" w:line="360" w:lineRule="auto"/>
        <w:ind w:left="0" w:leftChars="0" w:right="0" w:rightChars="0" w:firstLine="480" w:firstLineChars="200"/>
        <w:jc w:val="both"/>
        <w:textAlignment w:val="auto"/>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标准编制组在调查的基础上，根据标准制定要求、编制依据和编制原则组织标准的编写并完成初稿。几易其稿，相继完成标准的初稿、讨论稿和意见征求稿等。</w:t>
      </w:r>
    </w:p>
    <w:p>
      <w:pPr>
        <w:pageBreakBefore w:val="0"/>
        <w:kinsoku/>
        <w:wordWrap/>
        <w:overflowPunct/>
        <w:topLinePunct w:val="0"/>
        <w:bidi w:val="0"/>
        <w:spacing w:after="0" w:line="360" w:lineRule="auto"/>
        <w:ind w:left="0" w:leftChars="0" w:right="0" w:rightChars="0" w:firstLine="482" w:firstLineChars="200"/>
        <w:jc w:val="both"/>
        <w:textAlignment w:val="auto"/>
        <w:rPr>
          <w:rFonts w:hint="eastAsia" w:ascii="宋体" w:hAnsi="宋体" w:eastAsia="宋体" w:cs="宋体"/>
          <w:b/>
          <w:color w:val="000000" w:themeColor="text1"/>
          <w:sz w:val="24"/>
          <w:szCs w:val="24"/>
        </w:rPr>
      </w:pPr>
      <w:r>
        <w:rPr>
          <w:rFonts w:hint="eastAsia" w:ascii="宋体" w:hAnsi="宋体" w:eastAsia="宋体" w:cs="宋体"/>
          <w:b/>
          <w:color w:val="000000" w:themeColor="text1"/>
          <w:sz w:val="24"/>
          <w:szCs w:val="24"/>
        </w:rPr>
        <w:t>（四）组织研讨和征求相关部门意见</w:t>
      </w:r>
    </w:p>
    <w:p>
      <w:pPr>
        <w:pageBreakBefore w:val="0"/>
        <w:kinsoku/>
        <w:wordWrap/>
        <w:overflowPunct/>
        <w:topLinePunct w:val="0"/>
        <w:bidi w:val="0"/>
        <w:spacing w:after="0" w:line="360" w:lineRule="auto"/>
        <w:ind w:left="0" w:leftChars="0" w:right="0" w:rightChars="0" w:firstLine="480" w:firstLineChars="200"/>
        <w:jc w:val="both"/>
        <w:textAlignment w:val="auto"/>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标准编制组在标准编制的不同阶段多次召开内部或行业内领导、专家参加的研讨会，对标准进行细致全面地讨论，如2016年10月经</w:t>
      </w:r>
      <w:r>
        <w:rPr>
          <w:rFonts w:hint="eastAsia" w:ascii="宋体" w:hAnsi="宋体" w:eastAsia="宋体" w:cs="宋体"/>
          <w:sz w:val="24"/>
          <w:szCs w:val="24"/>
        </w:rPr>
        <w:t>专家组讨论，认为初稿题目存在争议，给出修改意见</w:t>
      </w:r>
      <w:r>
        <w:rPr>
          <w:rFonts w:hint="eastAsia" w:ascii="宋体" w:hAnsi="宋体" w:eastAsia="宋体" w:cs="宋体"/>
          <w:color w:val="000000" w:themeColor="text1"/>
          <w:sz w:val="24"/>
          <w:szCs w:val="24"/>
        </w:rPr>
        <w:t>；之后专家组又经过多次讨论至2017年1月提出标准框架混乱，逻辑关系不明确，条款内容存在重复的问题，并给出修改的意见。2017年8月专家组经多次讨论，提出缺少平台内部经营者和商品的准入条件、没有对危险性较大的农资产品的管理销售等做出相应规定等问题，建议修改，并给出意见。</w:t>
      </w:r>
      <w:r>
        <w:rPr>
          <w:rFonts w:hint="eastAsia" w:ascii="宋体" w:hAnsi="宋体" w:eastAsia="宋体" w:cs="宋体"/>
          <w:sz w:val="24"/>
          <w:szCs w:val="24"/>
        </w:rPr>
        <w:t>标准起草组根据专家意见对文稿进行了修改。</w:t>
      </w:r>
      <w:r>
        <w:rPr>
          <w:rFonts w:hint="eastAsia" w:ascii="宋体" w:hAnsi="宋体" w:eastAsia="宋体" w:cs="宋体"/>
          <w:color w:val="000000" w:themeColor="text1"/>
          <w:sz w:val="24"/>
          <w:szCs w:val="24"/>
        </w:rPr>
        <w:t>同时，将标准发往国家标准委及一些大型农资企业，进行典型单位的重点意见征求活动，并根据各方讨论和意见反馈的结果，进行了标准的修改和完善。</w:t>
      </w:r>
    </w:p>
    <w:p>
      <w:pPr>
        <w:pStyle w:val="2"/>
        <w:pageBreakBefore w:val="0"/>
        <w:kinsoku/>
        <w:wordWrap/>
        <w:overflowPunct/>
        <w:topLinePunct w:val="0"/>
        <w:bidi w:val="0"/>
        <w:spacing w:before="0" w:after="0" w:line="360" w:lineRule="auto"/>
        <w:ind w:left="0" w:leftChars="0" w:right="0" w:rightChars="0"/>
        <w:textAlignment w:val="auto"/>
        <w:rPr>
          <w:rFonts w:hint="eastAsia" w:ascii="宋体" w:hAnsi="宋体" w:eastAsia="宋体" w:cs="宋体"/>
          <w:color w:val="000000" w:themeColor="text1"/>
          <w:sz w:val="24"/>
          <w:szCs w:val="24"/>
        </w:rPr>
      </w:pPr>
      <w:bookmarkStart w:id="8" w:name="_Toc488737345"/>
      <w:r>
        <w:rPr>
          <w:rFonts w:hint="eastAsia" w:ascii="宋体" w:hAnsi="宋体" w:eastAsia="宋体" w:cs="宋体"/>
          <w:color w:val="000000" w:themeColor="text1"/>
          <w:sz w:val="24"/>
          <w:szCs w:val="24"/>
        </w:rPr>
        <w:t>六、标准的主要内容</w:t>
      </w:r>
      <w:bookmarkEnd w:id="8"/>
    </w:p>
    <w:p>
      <w:pPr>
        <w:pageBreakBefore w:val="0"/>
        <w:kinsoku/>
        <w:wordWrap/>
        <w:overflowPunct/>
        <w:topLinePunct w:val="0"/>
        <w:bidi w:val="0"/>
        <w:spacing w:after="0"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《农资电子商务体系建设规范》分为9部分，主要内容如下：</w:t>
      </w:r>
    </w:p>
    <w:p>
      <w:pPr>
        <w:pageBreakBefore w:val="0"/>
        <w:kinsoku/>
        <w:wordWrap/>
        <w:overflowPunct/>
        <w:topLinePunct w:val="0"/>
        <w:bidi w:val="0"/>
        <w:spacing w:after="0" w:line="360" w:lineRule="auto"/>
        <w:ind w:left="0" w:leftChars="0" w:right="0" w:rightChars="0" w:firstLine="480" w:firstLineChars="200"/>
        <w:jc w:val="both"/>
        <w:textAlignment w:val="auto"/>
        <w:rPr>
          <w:rFonts w:hint="eastAsia" w:ascii="宋体" w:hAnsi="宋体" w:eastAsia="宋体" w:cs="宋体"/>
          <w:sz w:val="24"/>
          <w:szCs w:val="24"/>
        </w:rPr>
      </w:pPr>
      <w:bookmarkStart w:id="9" w:name="_Toc256163558"/>
      <w:r>
        <w:rPr>
          <w:rFonts w:hint="eastAsia" w:ascii="宋体" w:hAnsi="宋体" w:eastAsia="宋体" w:cs="宋体"/>
          <w:sz w:val="24"/>
          <w:szCs w:val="24"/>
        </w:rPr>
        <w:t>1、范围</w:t>
      </w:r>
      <w:bookmarkEnd w:id="9"/>
      <w:r>
        <w:rPr>
          <w:rFonts w:hint="eastAsia" w:ascii="宋体" w:hAnsi="宋体" w:eastAsia="宋体" w:cs="宋体"/>
          <w:sz w:val="24"/>
          <w:szCs w:val="24"/>
        </w:rPr>
        <w:t>。介绍本标准的主要内容以及本标准所适用的领域。</w:t>
      </w:r>
    </w:p>
    <w:p>
      <w:pPr>
        <w:pageBreakBefore w:val="0"/>
        <w:kinsoku/>
        <w:wordWrap/>
        <w:overflowPunct/>
        <w:topLinePunct w:val="0"/>
        <w:bidi w:val="0"/>
        <w:spacing w:after="0" w:line="360" w:lineRule="auto"/>
        <w:ind w:left="0" w:leftChars="0" w:right="0" w:rightChars="0" w:firstLine="480" w:firstLineChars="200"/>
        <w:jc w:val="both"/>
        <w:textAlignment w:val="auto"/>
        <w:rPr>
          <w:rFonts w:hint="eastAsia" w:ascii="宋体" w:hAnsi="宋体" w:eastAsia="宋体" w:cs="宋体"/>
          <w:sz w:val="24"/>
          <w:szCs w:val="24"/>
        </w:rPr>
      </w:pPr>
      <w:bookmarkStart w:id="10" w:name="_Toc256163559"/>
      <w:r>
        <w:rPr>
          <w:rFonts w:hint="eastAsia" w:ascii="宋体" w:hAnsi="宋体" w:eastAsia="宋体" w:cs="宋体"/>
          <w:sz w:val="24"/>
          <w:szCs w:val="24"/>
        </w:rPr>
        <w:t>2、规范性引用文件</w:t>
      </w:r>
      <w:bookmarkEnd w:id="10"/>
      <w:r>
        <w:rPr>
          <w:rFonts w:hint="eastAsia" w:ascii="宋体" w:hAnsi="宋体" w:eastAsia="宋体" w:cs="宋体"/>
          <w:sz w:val="24"/>
          <w:szCs w:val="24"/>
        </w:rPr>
        <w:t>。指出了本标准主要参考和引用的标准</w:t>
      </w:r>
      <w:bookmarkStart w:id="11" w:name="_Toc256163560"/>
      <w:r>
        <w:rPr>
          <w:rFonts w:hint="eastAsia" w:ascii="宋体" w:hAnsi="宋体" w:eastAsia="宋体" w:cs="宋体"/>
          <w:sz w:val="24"/>
          <w:szCs w:val="24"/>
        </w:rPr>
        <w:t xml:space="preserve">名称和标准编号。    </w:t>
      </w:r>
    </w:p>
    <w:p>
      <w:pPr>
        <w:pageBreakBefore w:val="0"/>
        <w:kinsoku/>
        <w:wordWrap/>
        <w:overflowPunct/>
        <w:topLinePunct w:val="0"/>
        <w:bidi w:val="0"/>
        <w:spacing w:after="0"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3、术语和定义</w:t>
      </w:r>
      <w:bookmarkEnd w:id="11"/>
      <w:r>
        <w:rPr>
          <w:rFonts w:hint="eastAsia" w:ascii="宋体" w:hAnsi="宋体" w:eastAsia="宋体" w:cs="宋体"/>
          <w:sz w:val="24"/>
          <w:szCs w:val="24"/>
        </w:rPr>
        <w:t>。本标准引用或定义的术语共计12个，分别是“农资产品”、“电子商务平台”、“农资电子商务平台”、“平台运营”、“平台经营者”、“站内经营者”、“网络交易服务”、“网络交易辅助服务”、“货物交割”、“交割仓库”、“信息安全”、“危险品”。</w:t>
      </w:r>
    </w:p>
    <w:p>
      <w:pPr>
        <w:pStyle w:val="15"/>
        <w:pageBreakBefore w:val="0"/>
        <w:kinsoku/>
        <w:wordWrap/>
        <w:overflowPunct/>
        <w:topLinePunct w:val="0"/>
        <w:bidi w:val="0"/>
        <w:spacing w:after="0" w:line="360" w:lineRule="auto"/>
        <w:ind w:left="0" w:leftChars="0" w:right="0" w:rightChars="0" w:firstLine="640"/>
        <w:textAlignment w:val="auto"/>
        <w:rPr>
          <w:rFonts w:hint="eastAsia" w:ascii="宋体" w:hAnsi="宋体" w:eastAsia="宋体" w:cs="宋体"/>
          <w:sz w:val="24"/>
          <w:szCs w:val="24"/>
        </w:rPr>
      </w:pPr>
      <w:r>
        <w:rPr>
          <w:rFonts w:hint="eastAsia" w:ascii="宋体" w:hAnsi="宋体" w:eastAsia="宋体" w:cs="宋体"/>
          <w:sz w:val="24"/>
          <w:szCs w:val="24"/>
        </w:rPr>
        <w:t>4、机构和管理职责。根据农资电子商务平台整体业务活动及其面临的风险、建立、实施、运作、建设、评审电子商务平台的建设运营制度，并建立与平台经营规模和站内经营者要求相适应的内部管理组织机构。</w:t>
      </w:r>
    </w:p>
    <w:p>
      <w:pPr>
        <w:pageBreakBefor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bidi w:val="0"/>
        <w:spacing w:after="0"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5、农资企业电子商务平台管理文件。农资电子商务平台管理文件为农资电子商务平台运营提供了规范，本章对农资电子商务平台管理文件总则、主要内容、文件控制和文件记录等方面提出了要求。</w:t>
      </w:r>
    </w:p>
    <w:p>
      <w:pPr>
        <w:pageBreakBefore w:val="0"/>
        <w:kinsoku/>
        <w:wordWrap/>
        <w:overflowPunct/>
        <w:topLinePunct w:val="0"/>
        <w:bidi w:val="0"/>
        <w:spacing w:after="0"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 xml:space="preserve">6、农资电子商务平台建设规范。提出平台建设所需要满足的要求，分别包括企业注册和行政许可、硬件条件、软件条件、技术条件、安全保障、从业人员条件、交易规则、交易模式、用户协议、货物条件、仓储条件、货物交割条件、客户服务、经营者信息公示、终止经营等方面内容。 </w:t>
      </w:r>
    </w:p>
    <w:p>
      <w:pPr>
        <w:pageBreakBefor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bidi w:val="0"/>
        <w:spacing w:after="0"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7、农资电子商务平台管理规范。提出平台运营所需要满足的管理要求，分别包括企业管理、交易平台设施管理、站内经营管理、客户数据管理、信息发布和管理、经营活动管理、货款支付和管理、货物交割管理、纠纷管理、违约管理等方面内容。</w:t>
      </w:r>
    </w:p>
    <w:p>
      <w:pPr>
        <w:pStyle w:val="15"/>
        <w:pageBreakBefore w:val="0"/>
        <w:kinsoku/>
        <w:wordWrap/>
        <w:overflowPunct/>
        <w:topLinePunct w:val="0"/>
        <w:bidi w:val="0"/>
        <w:spacing w:after="0" w:line="360" w:lineRule="auto"/>
        <w:ind w:left="0" w:leftChars="0" w:right="0" w:rightChars="0" w:firstLine="640"/>
        <w:textAlignment w:val="auto"/>
        <w:rPr>
          <w:rFonts w:hint="eastAsia" w:ascii="宋体" w:hAnsi="宋体" w:eastAsia="宋体" w:cs="宋体"/>
          <w:sz w:val="24"/>
          <w:szCs w:val="24"/>
        </w:rPr>
      </w:pPr>
      <w:r>
        <w:rPr>
          <w:rFonts w:hint="eastAsia" w:ascii="宋体" w:hAnsi="宋体" w:eastAsia="宋体" w:cs="宋体"/>
          <w:sz w:val="24"/>
          <w:szCs w:val="24"/>
        </w:rPr>
        <w:t>8、农资电子商务平台检查。规定了农资电商平台建设与运营情况的检查和评审制度，确保检查和审核的范围充分，记录可能影响农资电商平台运营的措施和事件，生成农资电商平台的检查和评审报告。</w:t>
      </w:r>
    </w:p>
    <w:p>
      <w:pPr>
        <w:pStyle w:val="15"/>
        <w:pageBreakBefore w:val="0"/>
        <w:kinsoku/>
        <w:wordWrap/>
        <w:overflowPunct/>
        <w:topLinePunct w:val="0"/>
        <w:bidi w:val="0"/>
        <w:spacing w:after="0" w:line="360" w:lineRule="auto"/>
        <w:ind w:left="0" w:leftChars="0" w:right="0" w:rightChars="0" w:firstLine="640"/>
        <w:textAlignment w:val="auto"/>
        <w:rPr>
          <w:rFonts w:hint="eastAsia" w:ascii="宋体" w:hAnsi="宋体" w:eastAsia="宋体" w:cs="宋体"/>
          <w:sz w:val="24"/>
          <w:szCs w:val="24"/>
        </w:rPr>
      </w:pPr>
      <w:r>
        <w:rPr>
          <w:rFonts w:hint="eastAsia" w:ascii="宋体" w:hAnsi="宋体" w:eastAsia="宋体" w:cs="宋体"/>
          <w:sz w:val="24"/>
          <w:szCs w:val="24"/>
        </w:rPr>
        <w:t>9、农资电子商务平台绩效评价和改进。规定了农资电子商务平台应建立的绩效评价制度，检查和评估平台的运营情况，及时发现问题并采取措施，坚持预防为主和持续改进，不断提高平台的管理绩效。</w:t>
      </w:r>
    </w:p>
    <w:p>
      <w:pPr>
        <w:pStyle w:val="15"/>
        <w:pageBreakBefore w:val="0"/>
        <w:kinsoku/>
        <w:wordWrap/>
        <w:overflowPunct/>
        <w:topLinePunct w:val="0"/>
        <w:bidi w:val="0"/>
        <w:spacing w:after="0" w:line="360" w:lineRule="auto"/>
        <w:ind w:left="0" w:leftChars="0" w:right="0" w:rightChars="0" w:firstLine="640"/>
        <w:textAlignment w:val="auto"/>
        <w:rPr>
          <w:rFonts w:hint="eastAsia" w:ascii="宋体" w:hAnsi="宋体" w:eastAsia="宋体" w:cs="宋体"/>
          <w:sz w:val="24"/>
          <w:szCs w:val="24"/>
        </w:rPr>
      </w:pPr>
    </w:p>
    <w:p>
      <w:pPr>
        <w:pageBreakBefore w:val="0"/>
        <w:kinsoku/>
        <w:wordWrap/>
        <w:overflowPunct/>
        <w:topLinePunct w:val="0"/>
        <w:bidi w:val="0"/>
        <w:spacing w:after="0" w:line="360" w:lineRule="auto"/>
        <w:ind w:left="0" w:leftChars="0" w:right="0" w:rightChars="0"/>
        <w:jc w:val="both"/>
        <w:textAlignment w:val="auto"/>
        <w:rPr>
          <w:rFonts w:hint="eastAsia" w:ascii="宋体" w:hAnsi="宋体" w:eastAsia="宋体" w:cs="宋体"/>
          <w:sz w:val="24"/>
          <w:szCs w:val="24"/>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rect id="文本框2" o:spid="_x0000_s5121" o:spt="1"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v:textbox inset="0mm,0mm,0mm,0mm" style="mso-fit-shape-to-text:t;">
            <w:txbxContent>
              <w:p>
                <w:pPr>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14</w:t>
                </w:r>
                <w:r>
                  <w:rPr>
                    <w:rFonts w:hint="eastAsia"/>
                    <w:sz w:val="18"/>
                  </w:rPr>
                  <w:fldChar w:fldCharType="end"/>
                </w:r>
              </w:p>
            </w:txbxContent>
          </v:textbox>
        </v:rect>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characterSpacingControl w:val="doNotCompress"/>
  <w:hdrShapeDefaults>
    <o:shapelayout v:ext="edit">
      <o:idmap v:ext="edit" data="5"/>
    </o:shapelayout>
  </w:hdrShapeDefaults>
  <w:compat>
    <w:useFELayout/>
    <w:compatSetting w:name="compatibilityMode" w:uri="http://schemas.microsoft.com/office/word" w:val="12"/>
  </w:compat>
  <w:rsids>
    <w:rsidRoot w:val="00D31D50"/>
    <w:rsid w:val="000143C3"/>
    <w:rsid w:val="00014430"/>
    <w:rsid w:val="000312E3"/>
    <w:rsid w:val="000372B8"/>
    <w:rsid w:val="00067261"/>
    <w:rsid w:val="00071F50"/>
    <w:rsid w:val="00072095"/>
    <w:rsid w:val="00075A2F"/>
    <w:rsid w:val="00093AA5"/>
    <w:rsid w:val="000C7D96"/>
    <w:rsid w:val="0012768F"/>
    <w:rsid w:val="00136993"/>
    <w:rsid w:val="00136DE6"/>
    <w:rsid w:val="00137460"/>
    <w:rsid w:val="0014379F"/>
    <w:rsid w:val="0016024B"/>
    <w:rsid w:val="001676C8"/>
    <w:rsid w:val="00191F85"/>
    <w:rsid w:val="00193F18"/>
    <w:rsid w:val="001963A6"/>
    <w:rsid w:val="00196E40"/>
    <w:rsid w:val="001A6070"/>
    <w:rsid w:val="001C0B69"/>
    <w:rsid w:val="001C2078"/>
    <w:rsid w:val="001D30FB"/>
    <w:rsid w:val="002229E5"/>
    <w:rsid w:val="00243DF2"/>
    <w:rsid w:val="0025229E"/>
    <w:rsid w:val="00256157"/>
    <w:rsid w:val="00264029"/>
    <w:rsid w:val="00292570"/>
    <w:rsid w:val="002932A5"/>
    <w:rsid w:val="00293AEA"/>
    <w:rsid w:val="002A1D27"/>
    <w:rsid w:val="002C2B98"/>
    <w:rsid w:val="002C5D7A"/>
    <w:rsid w:val="002E0716"/>
    <w:rsid w:val="002E0D17"/>
    <w:rsid w:val="002E16FB"/>
    <w:rsid w:val="002E3E01"/>
    <w:rsid w:val="002F0699"/>
    <w:rsid w:val="00307EAC"/>
    <w:rsid w:val="00323B43"/>
    <w:rsid w:val="00380E03"/>
    <w:rsid w:val="003855DB"/>
    <w:rsid w:val="003A57C2"/>
    <w:rsid w:val="003B53EC"/>
    <w:rsid w:val="003D37D8"/>
    <w:rsid w:val="003E074D"/>
    <w:rsid w:val="00405714"/>
    <w:rsid w:val="00406790"/>
    <w:rsid w:val="00426133"/>
    <w:rsid w:val="004358AB"/>
    <w:rsid w:val="00446D25"/>
    <w:rsid w:val="00452116"/>
    <w:rsid w:val="00471FDB"/>
    <w:rsid w:val="00474C54"/>
    <w:rsid w:val="00476D02"/>
    <w:rsid w:val="00484BEC"/>
    <w:rsid w:val="00490D66"/>
    <w:rsid w:val="004978E8"/>
    <w:rsid w:val="004B33EA"/>
    <w:rsid w:val="004C4D5A"/>
    <w:rsid w:val="004C736B"/>
    <w:rsid w:val="004E0780"/>
    <w:rsid w:val="00503294"/>
    <w:rsid w:val="0053281E"/>
    <w:rsid w:val="0054192D"/>
    <w:rsid w:val="00550E2D"/>
    <w:rsid w:val="00564D19"/>
    <w:rsid w:val="00573F34"/>
    <w:rsid w:val="0059545B"/>
    <w:rsid w:val="00596E36"/>
    <w:rsid w:val="005A3FDB"/>
    <w:rsid w:val="005B4302"/>
    <w:rsid w:val="005E0345"/>
    <w:rsid w:val="005E0F4F"/>
    <w:rsid w:val="005E1BFE"/>
    <w:rsid w:val="005E21A8"/>
    <w:rsid w:val="005E6C3E"/>
    <w:rsid w:val="005F5AD8"/>
    <w:rsid w:val="00637ED4"/>
    <w:rsid w:val="00646568"/>
    <w:rsid w:val="00646A73"/>
    <w:rsid w:val="00665E22"/>
    <w:rsid w:val="0068137E"/>
    <w:rsid w:val="00692DF3"/>
    <w:rsid w:val="006A0C70"/>
    <w:rsid w:val="006A2C04"/>
    <w:rsid w:val="006B00F2"/>
    <w:rsid w:val="006C2098"/>
    <w:rsid w:val="006C372C"/>
    <w:rsid w:val="007126B9"/>
    <w:rsid w:val="007503DA"/>
    <w:rsid w:val="007536FB"/>
    <w:rsid w:val="007B5313"/>
    <w:rsid w:val="007C15D8"/>
    <w:rsid w:val="007C595D"/>
    <w:rsid w:val="007D52D0"/>
    <w:rsid w:val="008123FD"/>
    <w:rsid w:val="008173C7"/>
    <w:rsid w:val="008351A1"/>
    <w:rsid w:val="00855266"/>
    <w:rsid w:val="00861A51"/>
    <w:rsid w:val="00870A36"/>
    <w:rsid w:val="00873AD2"/>
    <w:rsid w:val="008A39A5"/>
    <w:rsid w:val="008A64DD"/>
    <w:rsid w:val="008B6289"/>
    <w:rsid w:val="008B7726"/>
    <w:rsid w:val="008C78DC"/>
    <w:rsid w:val="008D168A"/>
    <w:rsid w:val="008D2733"/>
    <w:rsid w:val="008F4035"/>
    <w:rsid w:val="00950993"/>
    <w:rsid w:val="00970FB6"/>
    <w:rsid w:val="0097589D"/>
    <w:rsid w:val="00977FD1"/>
    <w:rsid w:val="009A072D"/>
    <w:rsid w:val="009C3243"/>
    <w:rsid w:val="009C6695"/>
    <w:rsid w:val="009D0C39"/>
    <w:rsid w:val="009E5CB8"/>
    <w:rsid w:val="009E5DA1"/>
    <w:rsid w:val="009E7E07"/>
    <w:rsid w:val="009F1FB1"/>
    <w:rsid w:val="009F516E"/>
    <w:rsid w:val="00A12E04"/>
    <w:rsid w:val="00A2785C"/>
    <w:rsid w:val="00A33F47"/>
    <w:rsid w:val="00A45BF1"/>
    <w:rsid w:val="00A65DC6"/>
    <w:rsid w:val="00A71527"/>
    <w:rsid w:val="00A96199"/>
    <w:rsid w:val="00AA3877"/>
    <w:rsid w:val="00AB0158"/>
    <w:rsid w:val="00AD22D9"/>
    <w:rsid w:val="00AD4F37"/>
    <w:rsid w:val="00AD6658"/>
    <w:rsid w:val="00B02966"/>
    <w:rsid w:val="00B239FA"/>
    <w:rsid w:val="00B462A8"/>
    <w:rsid w:val="00B51850"/>
    <w:rsid w:val="00B5381C"/>
    <w:rsid w:val="00B63740"/>
    <w:rsid w:val="00BB69AA"/>
    <w:rsid w:val="00BF0E65"/>
    <w:rsid w:val="00C005FF"/>
    <w:rsid w:val="00C078DA"/>
    <w:rsid w:val="00C11D5E"/>
    <w:rsid w:val="00C205CC"/>
    <w:rsid w:val="00C25B9A"/>
    <w:rsid w:val="00C34168"/>
    <w:rsid w:val="00C3789A"/>
    <w:rsid w:val="00C5753C"/>
    <w:rsid w:val="00C71C55"/>
    <w:rsid w:val="00C76C4D"/>
    <w:rsid w:val="00C90EE6"/>
    <w:rsid w:val="00CA3A4F"/>
    <w:rsid w:val="00CA7FD3"/>
    <w:rsid w:val="00CC5898"/>
    <w:rsid w:val="00CD0FAD"/>
    <w:rsid w:val="00CD5972"/>
    <w:rsid w:val="00D038C1"/>
    <w:rsid w:val="00D07166"/>
    <w:rsid w:val="00D31D50"/>
    <w:rsid w:val="00D42EEA"/>
    <w:rsid w:val="00D53A08"/>
    <w:rsid w:val="00D67474"/>
    <w:rsid w:val="00D91F11"/>
    <w:rsid w:val="00DA2CE2"/>
    <w:rsid w:val="00DB37F5"/>
    <w:rsid w:val="00DB4671"/>
    <w:rsid w:val="00DD5B95"/>
    <w:rsid w:val="00DE2710"/>
    <w:rsid w:val="00E22E00"/>
    <w:rsid w:val="00E3686C"/>
    <w:rsid w:val="00E55FBC"/>
    <w:rsid w:val="00E64FAF"/>
    <w:rsid w:val="00E70DCF"/>
    <w:rsid w:val="00E93E83"/>
    <w:rsid w:val="00EB4FAE"/>
    <w:rsid w:val="00EC0849"/>
    <w:rsid w:val="00ED6A2B"/>
    <w:rsid w:val="00EE2867"/>
    <w:rsid w:val="00EF0892"/>
    <w:rsid w:val="00F24FDE"/>
    <w:rsid w:val="00F30CE1"/>
    <w:rsid w:val="00F54CCA"/>
    <w:rsid w:val="00F56BDD"/>
    <w:rsid w:val="00F67F40"/>
    <w:rsid w:val="00F83980"/>
    <w:rsid w:val="00F86ADC"/>
    <w:rsid w:val="00FB357E"/>
    <w:rsid w:val="00FB3757"/>
    <w:rsid w:val="00FE20FB"/>
    <w:rsid w:val="00FE343F"/>
    <w:rsid w:val="00FF5CDB"/>
    <w:rsid w:val="643640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paragraph" w:styleId="2">
    <w:name w:val="heading 1"/>
    <w:basedOn w:val="1"/>
    <w:next w:val="1"/>
    <w:link w:val="14"/>
    <w:qFormat/>
    <w:uiPriority w:val="0"/>
    <w:pPr>
      <w:keepNext/>
      <w:keepLines/>
      <w:adjustRightInd/>
      <w:snapToGrid/>
      <w:spacing w:before="340" w:after="330" w:line="576" w:lineRule="auto"/>
      <w:jc w:val="both"/>
      <w:outlineLvl w:val="0"/>
    </w:pPr>
    <w:rPr>
      <w:rFonts w:ascii="Times New Roman" w:hAnsi="Times New Roman" w:eastAsia="宋体" w:cs="Times New Roman"/>
      <w:b/>
      <w:bCs/>
      <w:kern w:val="44"/>
      <w:sz w:val="44"/>
      <w:szCs w:val="44"/>
    </w:rPr>
  </w:style>
  <w:style w:type="character" w:default="1" w:styleId="9">
    <w:name w:val="Default Paragraph Font"/>
    <w:unhideWhenUsed/>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3">
    <w:name w:val="footer"/>
    <w:basedOn w:val="1"/>
    <w:link w:val="13"/>
    <w:unhideWhenUsed/>
    <w:uiPriority w:val="0"/>
    <w:pPr>
      <w:tabs>
        <w:tab w:val="center" w:pos="4153"/>
        <w:tab w:val="right" w:pos="8306"/>
      </w:tabs>
    </w:pPr>
    <w:rPr>
      <w:sz w:val="18"/>
      <w:szCs w:val="18"/>
    </w:rPr>
  </w:style>
  <w:style w:type="paragraph" w:styleId="4">
    <w:name w:val="header"/>
    <w:basedOn w:val="1"/>
    <w:link w:val="12"/>
    <w:unhideWhenUsed/>
    <w:uiPriority w:val="99"/>
    <w:pPr>
      <w:pBdr>
        <w:bottom w:val="single" w:color="auto" w:sz="6" w:space="1"/>
      </w:pBdr>
      <w:tabs>
        <w:tab w:val="center" w:pos="4153"/>
        <w:tab w:val="right" w:pos="8306"/>
      </w:tabs>
      <w:jc w:val="center"/>
    </w:pPr>
    <w:rPr>
      <w:sz w:val="18"/>
      <w:szCs w:val="18"/>
    </w:rPr>
  </w:style>
  <w:style w:type="paragraph" w:styleId="5">
    <w:name w:val="toc 1"/>
    <w:basedOn w:val="1"/>
    <w:next w:val="1"/>
    <w:uiPriority w:val="39"/>
    <w:pPr>
      <w:adjustRightInd/>
      <w:snapToGrid/>
      <w:spacing w:after="0"/>
      <w:jc w:val="both"/>
    </w:pPr>
    <w:rPr>
      <w:rFonts w:ascii="Times New Roman" w:hAnsi="Times New Roman" w:eastAsia="宋体" w:cs="Times New Roman"/>
      <w:kern w:val="2"/>
      <w:sz w:val="21"/>
      <w:szCs w:val="20"/>
    </w:rPr>
  </w:style>
  <w:style w:type="paragraph" w:styleId="6">
    <w:name w:val="toc 2"/>
    <w:basedOn w:val="1"/>
    <w:next w:val="1"/>
    <w:unhideWhenUsed/>
    <w:uiPriority w:val="39"/>
    <w:pPr>
      <w:ind w:left="420" w:leftChars="200"/>
    </w:pPr>
  </w:style>
  <w:style w:type="paragraph" w:styleId="7">
    <w:name w:val="HTML Preformatted"/>
    <w:basedOn w:val="1"/>
    <w:link w:val="18"/>
    <w:unhideWhenUs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napToGrid/>
      <w:spacing w:after="0"/>
    </w:pPr>
    <w:rPr>
      <w:rFonts w:ascii="宋体" w:hAnsi="宋体" w:eastAsia="宋体" w:cs="宋体"/>
      <w:sz w:val="24"/>
      <w:szCs w:val="24"/>
    </w:rPr>
  </w:style>
  <w:style w:type="paragraph" w:styleId="8">
    <w:name w:val="Normal (Web)"/>
    <w:basedOn w:val="1"/>
    <w:unhideWhenUsed/>
    <w:uiPriority w:val="99"/>
    <w:pPr>
      <w:adjustRightInd/>
      <w:snapToGrid/>
      <w:spacing w:before="100" w:beforeAutospacing="1" w:after="100" w:afterAutospacing="1"/>
    </w:pPr>
    <w:rPr>
      <w:rFonts w:ascii="宋体" w:hAnsi="宋体" w:eastAsia="宋体" w:cs="宋体"/>
      <w:sz w:val="24"/>
      <w:szCs w:val="24"/>
    </w:rPr>
  </w:style>
  <w:style w:type="character" w:styleId="10">
    <w:name w:val="Hyperlink"/>
    <w:basedOn w:val="9"/>
    <w:unhideWhenUsed/>
    <w:uiPriority w:val="99"/>
    <w:rPr>
      <w:color w:val="0000FF" w:themeColor="hyperlink"/>
      <w:u w:val="single"/>
    </w:rPr>
  </w:style>
  <w:style w:type="character" w:customStyle="1" w:styleId="12">
    <w:name w:val="页眉 Char"/>
    <w:basedOn w:val="9"/>
    <w:link w:val="4"/>
    <w:semiHidden/>
    <w:uiPriority w:val="99"/>
    <w:rPr>
      <w:rFonts w:ascii="Tahoma" w:hAnsi="Tahoma"/>
      <w:sz w:val="18"/>
      <w:szCs w:val="18"/>
    </w:rPr>
  </w:style>
  <w:style w:type="character" w:customStyle="1" w:styleId="13">
    <w:name w:val="页脚 Char"/>
    <w:basedOn w:val="9"/>
    <w:link w:val="3"/>
    <w:uiPriority w:val="0"/>
    <w:rPr>
      <w:rFonts w:ascii="Tahoma" w:hAnsi="Tahoma"/>
      <w:sz w:val="18"/>
      <w:szCs w:val="18"/>
    </w:rPr>
  </w:style>
  <w:style w:type="character" w:customStyle="1" w:styleId="14">
    <w:name w:val="标题 1 Char"/>
    <w:basedOn w:val="9"/>
    <w:link w:val="2"/>
    <w:uiPriority w:val="0"/>
    <w:rPr>
      <w:rFonts w:ascii="Times New Roman" w:hAnsi="Times New Roman" w:eastAsia="宋体" w:cs="Times New Roman"/>
      <w:b/>
      <w:bCs/>
      <w:kern w:val="44"/>
      <w:sz w:val="44"/>
      <w:szCs w:val="44"/>
    </w:rPr>
  </w:style>
  <w:style w:type="paragraph" w:customStyle="1" w:styleId="15">
    <w:name w:val="段"/>
    <w:link w:val="16"/>
    <w:uiPriority w:val="0"/>
    <w:pPr>
      <w:tabs>
        <w:tab w:val="center" w:pos="4201"/>
        <w:tab w:val="right" w:leader="dot" w:pos="9298"/>
      </w:tabs>
      <w:autoSpaceDE w:val="0"/>
      <w:autoSpaceDN w:val="0"/>
      <w:spacing w:after="0" w:line="240" w:lineRule="auto"/>
      <w:ind w:firstLine="420" w:firstLineChars="200"/>
      <w:jc w:val="both"/>
    </w:pPr>
    <w:rPr>
      <w:rFonts w:ascii="宋体" w:hAnsi="Times New Roman" w:eastAsia="宋体" w:cs="Times New Roman"/>
      <w:sz w:val="21"/>
      <w:szCs w:val="20"/>
      <w:lang w:val="en-US" w:eastAsia="zh-CN" w:bidi="ar-SA"/>
    </w:rPr>
  </w:style>
  <w:style w:type="character" w:customStyle="1" w:styleId="16">
    <w:name w:val="段 Char"/>
    <w:link w:val="15"/>
    <w:uiPriority w:val="0"/>
    <w:rPr>
      <w:rFonts w:ascii="宋体" w:hAnsi="Times New Roman" w:eastAsia="宋体" w:cs="Times New Roman"/>
      <w:sz w:val="21"/>
      <w:szCs w:val="20"/>
    </w:rPr>
  </w:style>
  <w:style w:type="paragraph" w:customStyle="1" w:styleId="17">
    <w:name w:val="List Paragraph"/>
    <w:basedOn w:val="1"/>
    <w:qFormat/>
    <w:uiPriority w:val="34"/>
    <w:pPr>
      <w:ind w:firstLine="420" w:firstLineChars="200"/>
    </w:pPr>
  </w:style>
  <w:style w:type="character" w:customStyle="1" w:styleId="18">
    <w:name w:val="HTML 预设格式 Char"/>
    <w:basedOn w:val="9"/>
    <w:link w:val="7"/>
    <w:uiPriority w:val="99"/>
    <w:rPr>
      <w:rFonts w:ascii="宋体" w:hAnsi="宋体" w:eastAsia="宋体" w:cs="宋体"/>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512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107436-C621-4C7C-B8C7-8D0CFB39E82C}">
  <ds:schemaRefs/>
</ds:datastoreItem>
</file>

<file path=docProps/app.xml><?xml version="1.0" encoding="utf-8"?>
<Properties xmlns="http://schemas.openxmlformats.org/officeDocument/2006/extended-properties" xmlns:vt="http://schemas.openxmlformats.org/officeDocument/2006/docPropsVTypes">
  <Template>Normal</Template>
  <Pages>16</Pages>
  <Words>1124</Words>
  <Characters>6413</Characters>
  <Lines>53</Lines>
  <Paragraphs>15</Paragraphs>
  <TotalTime>0</TotalTime>
  <ScaleCrop>false</ScaleCrop>
  <LinksUpToDate>false</LinksUpToDate>
  <CharactersWithSpaces>7522</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tianjiarun</cp:lastModifiedBy>
  <dcterms:modified xsi:type="dcterms:W3CDTF">2017-10-19T08:09:14Z</dcterms:modified>
  <cp:revision>214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